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подпрограмме 3.</w:t>
      </w:r>
    </w:p>
    <w:p w:rsidR="004A0E1E" w:rsidRPr="004A0E1E" w:rsidRDefault="004A0E1E" w:rsidP="004A0E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программы</w:t>
      </w:r>
    </w:p>
    <w:p w:rsidR="004A0E1E" w:rsidRPr="004A0E1E" w:rsidRDefault="004A0E1E" w:rsidP="004A0E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979"/>
        <w:gridCol w:w="1236"/>
        <w:gridCol w:w="1497"/>
        <w:gridCol w:w="1389"/>
        <w:gridCol w:w="1670"/>
        <w:gridCol w:w="1361"/>
      </w:tblGrid>
      <w:tr w:rsidR="004A0E1E" w:rsidRPr="004A0E1E" w:rsidTr="00DA67DD">
        <w:trPr>
          <w:trHeight w:val="278"/>
        </w:trPr>
        <w:tc>
          <w:tcPr>
            <w:tcW w:w="642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79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36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97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4420" w:type="dxa"/>
            <w:gridSpan w:val="3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показатели по годам</w:t>
            </w:r>
          </w:p>
        </w:tc>
      </w:tr>
      <w:tr w:rsidR="004A0E1E" w:rsidRPr="004A0E1E" w:rsidTr="00DA67DD">
        <w:trPr>
          <w:trHeight w:val="148"/>
        </w:trPr>
        <w:tc>
          <w:tcPr>
            <w:tcW w:w="642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70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0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A0E1E" w:rsidRPr="004A0E1E" w:rsidTr="00DA67DD">
        <w:trPr>
          <w:trHeight w:val="278"/>
        </w:trPr>
        <w:tc>
          <w:tcPr>
            <w:tcW w:w="642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9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0E1E" w:rsidRPr="004A0E1E" w:rsidTr="00DA67DD">
        <w:trPr>
          <w:trHeight w:val="556"/>
        </w:trPr>
        <w:tc>
          <w:tcPr>
            <w:tcW w:w="64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9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туристов и экскурсантов</w:t>
            </w:r>
          </w:p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9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0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360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</w:tr>
      <w:tr w:rsidR="004A0E1E" w:rsidRPr="004A0E1E" w:rsidTr="00DA67DD">
        <w:trPr>
          <w:trHeight w:val="572"/>
        </w:trPr>
        <w:tc>
          <w:tcPr>
            <w:tcW w:w="64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9" w:type="dxa"/>
          </w:tcPr>
          <w:p w:rsidR="004A0E1E" w:rsidRPr="004A0E1E" w:rsidRDefault="004A0E1E" w:rsidP="004A0E1E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туристических маршрутов по направлению природно-экологического туризма </w:t>
            </w:r>
          </w:p>
        </w:tc>
        <w:tc>
          <w:tcPr>
            <w:tcW w:w="1236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9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0E1E" w:rsidRPr="004A0E1E" w:rsidTr="00DA67DD">
        <w:trPr>
          <w:trHeight w:val="850"/>
        </w:trPr>
        <w:tc>
          <w:tcPr>
            <w:tcW w:w="64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9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услуг гостиниц и аналогичных средств размещения</w:t>
            </w:r>
          </w:p>
          <w:p w:rsidR="004A0E1E" w:rsidRPr="004A0E1E" w:rsidRDefault="004A0E1E" w:rsidP="004A0E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Тыс.чел.</w:t>
            </w:r>
          </w:p>
        </w:tc>
        <w:tc>
          <w:tcPr>
            <w:tcW w:w="149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89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4A0E1E" w:rsidRPr="004A0E1E" w:rsidTr="00DA67DD">
        <w:trPr>
          <w:trHeight w:val="834"/>
        </w:trPr>
        <w:tc>
          <w:tcPr>
            <w:tcW w:w="64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9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культурного наследия, в отношении которых в течение года своевременно проводились мероприятия по обследованию и фотофиксации</w:t>
            </w:r>
          </w:p>
        </w:tc>
        <w:tc>
          <w:tcPr>
            <w:tcW w:w="1236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подпрограмме 3.</w:t>
      </w:r>
    </w:p>
    <w:p w:rsidR="004A0E1E" w:rsidRPr="004A0E1E" w:rsidRDefault="004A0E1E" w:rsidP="004A0E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значений целевых индикаторов (показателей) подпрограммы.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данных: формы федерального статистического наблюдения № 7-НК, 8-НК, формы мониторинга деятельности организаций в сфере туризма </w:t>
      </w:r>
    </w:p>
    <w:p w:rsidR="004A0E1E" w:rsidRPr="004A0E1E" w:rsidRDefault="004A0E1E" w:rsidP="004A0E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ИФНС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0E1E" w:rsidRPr="004A0E1E" w:rsidSect="00652BE4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подпрограмме 3.</w:t>
      </w:r>
    </w:p>
    <w:p w:rsidR="004A0E1E" w:rsidRPr="004A0E1E" w:rsidRDefault="004A0E1E" w:rsidP="004A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0E1E">
        <w:rPr>
          <w:rFonts w:ascii="Times New Roman" w:eastAsia="Times New Roman" w:hAnsi="Times New Roman" w:cs="Times New Roman"/>
          <w:lang w:eastAsia="ru-RU"/>
        </w:rPr>
        <w:t>Ресурсное обеспечение и перечень мероприятий подпрограммы 3 за счет средств местного бюджета.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38"/>
        <w:gridCol w:w="2104"/>
        <w:gridCol w:w="1818"/>
        <w:gridCol w:w="1548"/>
        <w:gridCol w:w="1697"/>
        <w:gridCol w:w="1544"/>
      </w:tblGrid>
      <w:tr w:rsidR="004A0E1E" w:rsidRPr="004A0E1E" w:rsidTr="00DA67DD">
        <w:trPr>
          <w:trHeight w:val="22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основного 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4A0E1E" w:rsidRPr="004A0E1E" w:rsidTr="00DA67DD">
        <w:trPr>
          <w:trHeight w:val="29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0E1E" w:rsidRPr="004A0E1E" w:rsidTr="00DA67DD">
        <w:trPr>
          <w:trHeight w:val="72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«Развитие туризма в Кичменгско- Городецком муниципальном округе на 2023-2025 годы»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  <w:tr w:rsidR="004A0E1E" w:rsidRPr="004A0E1E" w:rsidTr="00DA67DD">
        <w:trPr>
          <w:trHeight w:val="1502"/>
        </w:trPr>
        <w:tc>
          <w:tcPr>
            <w:tcW w:w="1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  <w:tr w:rsidR="004A0E1E" w:rsidRPr="004A0E1E" w:rsidTr="00DA67DD">
        <w:trPr>
          <w:trHeight w:val="1496"/>
        </w:trPr>
        <w:tc>
          <w:tcPr>
            <w:tcW w:w="1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«Создание условий для развития туризма в Кичменгско-Городецком муниципальном округе»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</w:tbl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0E1E" w:rsidRPr="004A0E1E" w:rsidRDefault="004A0E1E" w:rsidP="004A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0E1E" w:rsidRPr="004A0E1E" w:rsidSect="00652BE4">
          <w:pgSz w:w="11905" w:h="16837"/>
          <w:pgMar w:top="1134" w:right="567" w:bottom="1134" w:left="851" w:header="720" w:footer="720" w:gutter="0"/>
          <w:cols w:space="720"/>
          <w:docGrid w:linePitch="360"/>
        </w:sect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муниципальной программе</w:t>
      </w:r>
    </w:p>
    <w:p w:rsidR="004A0E1E" w:rsidRPr="004A0E1E" w:rsidRDefault="004A0E1E" w:rsidP="004A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4485"/>
        <w:gridCol w:w="2247"/>
        <w:gridCol w:w="2245"/>
        <w:gridCol w:w="2246"/>
      </w:tblGrid>
      <w:tr w:rsidR="004A0E1E" w:rsidRPr="004A0E1E" w:rsidTr="00DA67DD">
        <w:trPr>
          <w:trHeight w:val="806"/>
        </w:trPr>
        <w:tc>
          <w:tcPr>
            <w:tcW w:w="8322" w:type="dxa"/>
            <w:gridSpan w:val="2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738" w:type="dxa"/>
            <w:gridSpan w:val="3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E1E" w:rsidRPr="004A0E1E" w:rsidTr="00DA67DD">
        <w:trPr>
          <w:trHeight w:val="278"/>
        </w:trPr>
        <w:tc>
          <w:tcPr>
            <w:tcW w:w="8322" w:type="dxa"/>
            <w:gridSpan w:val="2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4A0E1E" w:rsidRPr="004A0E1E" w:rsidTr="00DA67DD">
        <w:trPr>
          <w:trHeight w:val="263"/>
        </w:trPr>
        <w:tc>
          <w:tcPr>
            <w:tcW w:w="8322" w:type="dxa"/>
            <w:gridSpan w:val="2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E1E" w:rsidRPr="004A0E1E" w:rsidTr="00DA67DD">
        <w:trPr>
          <w:trHeight w:val="263"/>
        </w:trPr>
        <w:tc>
          <w:tcPr>
            <w:tcW w:w="8322" w:type="dxa"/>
            <w:gridSpan w:val="2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4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88 610,0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61 565,6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61 710,0</w:t>
            </w:r>
          </w:p>
        </w:tc>
      </w:tr>
      <w:tr w:rsidR="004A0E1E" w:rsidRPr="004A0E1E" w:rsidTr="00DA67DD">
        <w:trPr>
          <w:trHeight w:val="405"/>
        </w:trPr>
        <w:tc>
          <w:tcPr>
            <w:tcW w:w="3837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4485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4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66 828,00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61 225,6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61 370,0</w:t>
            </w:r>
          </w:p>
        </w:tc>
      </w:tr>
      <w:tr w:rsidR="004A0E1E" w:rsidRPr="004A0E1E" w:rsidTr="00DA67DD">
        <w:trPr>
          <w:trHeight w:val="405"/>
        </w:trPr>
        <w:tc>
          <w:tcPr>
            <w:tcW w:w="3837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4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4 032,3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05"/>
        </w:trPr>
        <w:tc>
          <w:tcPr>
            <w:tcW w:w="3837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4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17 749,7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224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</w:tr>
    </w:tbl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муниципальной программе</w:t>
      </w: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</w:t>
      </w:r>
    </w:p>
    <w:p w:rsidR="004A0E1E" w:rsidRPr="004A0E1E" w:rsidRDefault="004A0E1E" w:rsidP="004A0E1E">
      <w:pPr>
        <w:tabs>
          <w:tab w:val="left" w:pos="111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2384"/>
        <w:gridCol w:w="6352"/>
        <w:gridCol w:w="1283"/>
        <w:gridCol w:w="1323"/>
        <w:gridCol w:w="1177"/>
        <w:gridCol w:w="1457"/>
      </w:tblGrid>
      <w:tr w:rsidR="004A0E1E" w:rsidRPr="004A0E1E" w:rsidTr="00DA67DD">
        <w:trPr>
          <w:trHeight w:val="405"/>
          <w:jc w:val="center"/>
        </w:trPr>
        <w:tc>
          <w:tcPr>
            <w:tcW w:w="1123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осн. меропр. /№ подпрограммы</w:t>
            </w:r>
          </w:p>
        </w:tc>
        <w:tc>
          <w:tcPr>
            <w:tcW w:w="2384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индикатора (показателя)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3957" w:type="dxa"/>
            <w:gridSpan w:val="3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4A0E1E" w:rsidRPr="004A0E1E" w:rsidTr="00DA67DD">
        <w:trPr>
          <w:trHeight w:val="1030"/>
          <w:jc w:val="center"/>
        </w:trPr>
        <w:tc>
          <w:tcPr>
            <w:tcW w:w="11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1./2</w:t>
            </w:r>
          </w:p>
        </w:tc>
        <w:tc>
          <w:tcPr>
            <w:tcW w:w="2384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эффективного управления муниципальной программой и развитием сферы культуры округа (задача №1)</w:t>
            </w: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удовлетворенности граждан качеством предоставления муниципальных услуг в сфере культуры 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числа опрошенных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</w:tr>
      <w:tr w:rsidR="004A0E1E" w:rsidRPr="004A0E1E" w:rsidTr="00DA67DD">
        <w:trPr>
          <w:trHeight w:val="720"/>
          <w:jc w:val="center"/>
        </w:trPr>
        <w:tc>
          <w:tcPr>
            <w:tcW w:w="1123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1./1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2./1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3./1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4./1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2./2</w:t>
            </w:r>
          </w:p>
        </w:tc>
        <w:tc>
          <w:tcPr>
            <w:tcW w:w="2384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муниципального задания на оказание муниципальных услуг и выполнения работ муниципальных организаций округа в сфере культуры и дополнительного образования (задача № 11)</w:t>
            </w: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на оказание муниципальных услуг и выполнения работ муниципальных организаций округа в сфере культуры и дополнительного образования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A0E1E" w:rsidRPr="004A0E1E" w:rsidTr="00DA67DD">
        <w:trPr>
          <w:trHeight w:val="76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средней заработной платы педагогических работников дополнительного образования в области культуры к средней заработной плате по Вологодской области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A0E1E" w:rsidRPr="004A0E1E" w:rsidTr="00DA67DD">
        <w:trPr>
          <w:trHeight w:val="456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A0E1E" w:rsidRPr="004A0E1E" w:rsidTr="00DA67DD">
        <w:trPr>
          <w:trHeight w:val="615"/>
          <w:jc w:val="center"/>
        </w:trPr>
        <w:tc>
          <w:tcPr>
            <w:tcW w:w="1123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1./1</w:t>
            </w:r>
          </w:p>
        </w:tc>
        <w:tc>
          <w:tcPr>
            <w:tcW w:w="2384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художественного образования, обеспечение преемственности программ дополнительного образования в сфере культуры и искусства (задача № 2)</w:t>
            </w: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в возрасте от 5 до 18 лет, обучающихся по дополнительным образовательным программам в сфере культуры и искусства в общей численности детей этого возраста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привлекаемых к участию в творческих мероприятиях от общего количества детей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</w:tr>
      <w:tr w:rsidR="004A0E1E" w:rsidRPr="004A0E1E" w:rsidTr="00DA67DD">
        <w:trPr>
          <w:trHeight w:val="549"/>
          <w:jc w:val="center"/>
        </w:trPr>
        <w:tc>
          <w:tcPr>
            <w:tcW w:w="1123" w:type="dxa"/>
            <w:vMerge w:val="restart"/>
            <w:vAlign w:val="center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2./1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библиотечной системы округа, обеспечение качественного библиотечного обслуживания с учетом потребностей и интересов граждан (задача № 4)</w:t>
            </w: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библиотечных фондов, занесенных в электронный каталог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</w:tr>
      <w:tr w:rsidR="004A0E1E" w:rsidRPr="004A0E1E" w:rsidTr="00DA67DD">
        <w:trPr>
          <w:trHeight w:val="418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посещений общедоступных библиотек на одного жителя    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на 1 жителя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4A0E1E" w:rsidRPr="004A0E1E" w:rsidTr="00DA67DD">
        <w:trPr>
          <w:trHeight w:val="396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A0E1E" w:rsidRPr="004A0E1E" w:rsidTr="00DA67DD">
        <w:trPr>
          <w:trHeight w:val="405"/>
          <w:jc w:val="center"/>
        </w:trPr>
        <w:tc>
          <w:tcPr>
            <w:tcW w:w="1123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3./1</w:t>
            </w:r>
          </w:p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 для развития деятельности культурно-досуговых учреждений, повышения доступности и качества предоставляемых услуг, сохранение традиционной народной культуры, </w:t>
            </w: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нематериального культурного наследия округа (задача № 3)</w:t>
            </w: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Приобщенность населения округа к культуре через посещения учреждений (мероприятий) 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посещений на 1жителя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численность участников клубных формирований в расчете на  1 тыс. человек (в муниципальных домах культуры) 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Количество проведенных мероприятий для населения (по сохранению традиционной народной культуры)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Количество выездных мероприятий (по сохранению традиционной народной культуры)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Количество мастеров народных художественных промыслов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A0E1E" w:rsidRPr="004A0E1E" w:rsidTr="00DA67DD">
        <w:trPr>
          <w:trHeight w:val="405"/>
          <w:jc w:val="center"/>
        </w:trPr>
        <w:tc>
          <w:tcPr>
            <w:tcW w:w="1123" w:type="dxa"/>
            <w:vMerge w:val="restart"/>
            <w:vAlign w:val="center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4./1</w:t>
            </w:r>
          </w:p>
        </w:tc>
        <w:tc>
          <w:tcPr>
            <w:tcW w:w="2384" w:type="dxa"/>
            <w:vMerge w:val="restart"/>
            <w:vAlign w:val="center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Развитие музейного дела, создание условий для хранения, выявления, изучения и публикации музейных предметов и коллекций (задача № 5)</w:t>
            </w: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представленных (во всех формах) зрителю музейных предметов в общем количестве музейных предметов основного фонда.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45%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45%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45%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Посещаемость музейных учреждений, посещений на одного жителя в год.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Посещений на одного жителя в год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4A0E1E" w:rsidRPr="004A0E1E" w:rsidTr="00DA67DD">
        <w:trPr>
          <w:trHeight w:val="825"/>
          <w:jc w:val="center"/>
        </w:trPr>
        <w:tc>
          <w:tcPr>
            <w:tcW w:w="1123" w:type="dxa"/>
            <w:vMerge w:val="restart"/>
            <w:vAlign w:val="center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5./1</w:t>
            </w:r>
          </w:p>
        </w:tc>
        <w:tc>
          <w:tcPr>
            <w:tcW w:w="2384" w:type="dxa"/>
            <w:vMerge w:val="restart"/>
            <w:vAlign w:val="center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Укрепление материально-технической базы и оснащение оборудованием детских школ искусств (задача № 6)</w:t>
            </w: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образовательных организаций культуры, оснащенных материально-техническим оборудованием (с учетом детских школ искусств) в общем количестве образовательных организаций в сфере культуры муниципального образования области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Разработано проектно-сметных документаций и экспертиз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Количество детских школ искусств, в которых проведены ремонты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274"/>
          <w:jc w:val="center"/>
        </w:trPr>
        <w:tc>
          <w:tcPr>
            <w:tcW w:w="1123" w:type="dxa"/>
            <w:vMerge w:val="restart"/>
            <w:vAlign w:val="center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6./1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 w:val="restart"/>
            <w:vAlign w:val="center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библиотечной системы округа, обеспечение качественного библиотечного обслуживания с учетом потребностей и интересов граждан (задача № 4)</w:t>
            </w: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отремонтированных и оснащенных библиотек, расположенных в сельских населенных пунктах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0E1E" w:rsidRPr="004A0E1E" w:rsidTr="00DA67DD">
        <w:trPr>
          <w:trHeight w:val="27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культуры, в которых проведены мероприятия по капитальному ремонту и ремонту, включая приобретение и монтаж оборудования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27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общедоступных библиотек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на одного жителя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4A0E1E" w:rsidRPr="004A0E1E" w:rsidTr="00DA67DD">
        <w:trPr>
          <w:trHeight w:val="27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Разработано проектно-сметных документаций и экспертиз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27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2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посещений организаций культуры (в части посещения библиотек)</w:t>
            </w:r>
          </w:p>
        </w:tc>
        <w:tc>
          <w:tcPr>
            <w:tcW w:w="128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148904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210"/>
          <w:jc w:val="center"/>
        </w:trPr>
        <w:tc>
          <w:tcPr>
            <w:tcW w:w="1123" w:type="dxa"/>
            <w:vMerge w:val="restart"/>
            <w:vAlign w:val="center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7./1</w:t>
            </w:r>
          </w:p>
        </w:tc>
        <w:tc>
          <w:tcPr>
            <w:tcW w:w="2384" w:type="dxa"/>
            <w:vMerge w:val="restart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Создание и модернизация учреждений культурно-досугового типа в сельской местности (задача № 7)</w:t>
            </w: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Количество сельских домов культуры, в которых проведены ремонты</w:t>
            </w: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Разработано проектно-сметных документаций и экспертиз</w:t>
            </w: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численность участников клубных формирований в расчете на 1 тыс. человек (в муниципальных домах культуры) </w:t>
            </w: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</w:tr>
      <w:tr w:rsidR="004A0E1E" w:rsidRPr="004A0E1E" w:rsidTr="00DA67DD">
        <w:trPr>
          <w:trHeight w:val="405"/>
          <w:jc w:val="center"/>
        </w:trPr>
        <w:tc>
          <w:tcPr>
            <w:tcW w:w="1123" w:type="dxa"/>
            <w:vMerge w:val="restart"/>
            <w:vAlign w:val="center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A1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A2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7./1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8./1</w:t>
            </w:r>
          </w:p>
        </w:tc>
        <w:tc>
          <w:tcPr>
            <w:tcW w:w="2384" w:type="dxa"/>
            <w:vMerge w:val="restart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Развитие муниципальных учреждений культуры в части укрепления материально-технической базы (Реализация проекта «Народный бюджет»</w:t>
            </w:r>
            <w:r w:rsidRPr="004A0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регионального проекта «Культурная среда»;</w:t>
            </w: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регионального проекта «Творческие люди» государственная поддержка лучших работников сельских учреждений и лучших сельских учреждений культуры</w:t>
            </w:r>
            <w:r w:rsidRPr="004A0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) задача № 8</w:t>
            </w: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отремонтированных объектов муниципальной собственности в сфере культуры, образования в сфере культуры, архивного дела </w:t>
            </w: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Разработано проектно-сметных документаций и экспертиз</w:t>
            </w: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жителей муниципального образования области, в процессе решения вопросов местного значения в рамках реализации общественно значимого муниципального проекта от общего количества населения, проживающего на территории муниципального образования области.</w:t>
            </w:r>
          </w:p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7,07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1./3</w:t>
            </w:r>
          </w:p>
        </w:tc>
        <w:tc>
          <w:tcPr>
            <w:tcW w:w="2384" w:type="dxa"/>
            <w:vMerge w:val="restart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устойчивого развития внутреннего и въездного туризма (задача № 9)</w:t>
            </w: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туристов и экскурсантов </w:t>
            </w:r>
          </w:p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Тыс. чел.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11,12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туристических маршрутов по направлению природно-экологического туризма</w:t>
            </w: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услуг гостиниц и аналогичных средств размещения</w:t>
            </w:r>
          </w:p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Тыс.чел.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4A0E1E" w:rsidRPr="004A0E1E" w:rsidTr="00DA67DD">
        <w:trPr>
          <w:trHeight w:val="144"/>
          <w:jc w:val="center"/>
        </w:trPr>
        <w:tc>
          <w:tcPr>
            <w:tcW w:w="112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1./3</w:t>
            </w:r>
          </w:p>
        </w:tc>
        <w:tc>
          <w:tcPr>
            <w:tcW w:w="2384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объектов культурного наследия (задача № 10)</w:t>
            </w:r>
          </w:p>
        </w:tc>
        <w:tc>
          <w:tcPr>
            <w:tcW w:w="6352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объектов культурного наследия, в отношении которых в течение года своевременно проводились мероприятия по обследованию и фотофиксации</w:t>
            </w:r>
          </w:p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3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7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</w:tcPr>
          <w:p w:rsidR="004A0E1E" w:rsidRPr="004A0E1E" w:rsidRDefault="004A0E1E" w:rsidP="004A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4A0E1E" w:rsidRPr="004A0E1E" w:rsidRDefault="004A0E1E" w:rsidP="004A0E1E">
      <w:pPr>
        <w:spacing w:after="0" w:line="240" w:lineRule="auto"/>
        <w:ind w:right="-10" w:firstLine="54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right="-10" w:firstLine="54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4A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3 к 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:rsidR="004A0E1E" w:rsidRPr="004A0E1E" w:rsidRDefault="004A0E1E" w:rsidP="004A0E1E">
      <w:pPr>
        <w:spacing w:after="0" w:line="240" w:lineRule="auto"/>
        <w:ind w:left="284" w:firstLine="54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E1E" w:rsidRPr="004A0E1E" w:rsidRDefault="004A0E1E" w:rsidP="004A0E1E">
      <w:pPr>
        <w:tabs>
          <w:tab w:val="left" w:pos="8820"/>
        </w:tabs>
        <w:spacing w:after="0" w:line="240" w:lineRule="auto"/>
        <w:ind w:left="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целевых индикаторов (показателей)  муниципальной программы.</w:t>
      </w:r>
    </w:p>
    <w:p w:rsidR="004A0E1E" w:rsidRPr="004A0E1E" w:rsidRDefault="004A0E1E" w:rsidP="004A0E1E">
      <w:pPr>
        <w:tabs>
          <w:tab w:val="left" w:pos="8820"/>
        </w:tabs>
        <w:spacing w:after="0" w:line="240" w:lineRule="auto"/>
        <w:ind w:left="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данного возраста.</w:t>
      </w:r>
    </w:p>
    <w:p w:rsidR="004A0E1E" w:rsidRPr="004A0E1E" w:rsidRDefault="004A0E1E" w:rsidP="004A0E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25pt;height:40.85pt" o:ole="">
            <v:imagedata r:id="rId5" o:title=""/>
          </v:shape>
          <o:OLEObject Type="Embed" ProgID="Equation.3" ShapeID="_x0000_i1025" DrawAspect="Content" ObjectID="_1772262625" r:id="rId6"/>
        </w:objec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Д2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данного возраста (%).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(чел.).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Кобщ –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численность детей в возрасте от 5 до 18 лет (чел.).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Доля детей, привлекаемых к участию в творческих мероприятиях, рассчитывается в % по формуле.</w:t>
      </w:r>
    </w:p>
    <w:p w:rsidR="004A0E1E" w:rsidRPr="004A0E1E" w:rsidRDefault="004A0E1E" w:rsidP="004A0E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740" w:dyaOrig="660">
          <v:shape id="_x0000_i1026" type="#_x0000_t75" style="width:155.75pt;height:40.85pt" o:ole="">
            <v:imagedata r:id="rId7" o:title=""/>
          </v:shape>
          <o:OLEObject Type="Embed" ProgID="Equation.3" ShapeID="_x0000_i1026" DrawAspect="Content" ObjectID="_1772262626" r:id="rId8"/>
        </w:objec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Д1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детей, привлекаемых к участию в творческих мероприятиях (%);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 – 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в возрасте от 5 до 18 лет, участвующих в творческих мероприятиях (чел.);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Кобщ –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численность детей в возрасте от 5 до 18 лет (чел.).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участвующие в творческих мероприятиях – обучающиеся бюджетных образовательных учреждений сферы культуры и искусства округа, посещающие клубные формирования в учреждениях культуры округа, принимающие участие в концертах, конкурсах и фестивалях округного, областного, всероссийского и международного уровней.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Отношение средней заработной платы педагогических работников дополнительного образования в области культуры к средней заработной плате по Вологодской области.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00" w:dyaOrig="620">
          <v:shape id="_x0000_i1027" type="#_x0000_t75" style="width:127.4pt;height:40.15pt" o:ole="">
            <v:imagedata r:id="rId9" o:title=""/>
          </v:shape>
          <o:OLEObject Type="Embed" ProgID="Equation.3" ShapeID="_x0000_i1027" DrawAspect="Content" ObjectID="_1772262627" r:id="rId10"/>
        </w:objec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,где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зп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-значение показателя 3(%)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Сзпдо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-средняя заработная плата работников дополнительного образования 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Сзпоо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-средняя заработная плата по Вологодской области.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Уровень фактической обеспеченности учреждениями культуры от нормативной потребности (учреждения культурно-досугового типа и библиотеки).</w:t>
      </w:r>
    </w:p>
    <w:p w:rsidR="004A0E1E" w:rsidRPr="004A0E1E" w:rsidRDefault="004A0E1E" w:rsidP="004A0E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Российской Федерации от 19 октября </w:t>
      </w:r>
      <w:smartTag w:uri="urn:schemas-microsoft-com:office:smarttags" w:element="metricconverter">
        <w:smartTagPr>
          <w:attr w:name="ProductID" w:val="1999 г"/>
        </w:smartTagPr>
        <w:r w:rsidRPr="004A0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. N 1683-р.</w:t>
      </w:r>
    </w:p>
    <w:p w:rsidR="004A0E1E" w:rsidRPr="004A0E1E" w:rsidRDefault="004A0E1E" w:rsidP="004A0E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потребности в объектах социальной инфраструктуры должны осуществляться с учетом данных о мощности (пропускной способности) действующих учреждений, социальных норм и нормативов,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4A0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1063-р, стандартов предоставления соответствующих социальных услуг, прогноза численности населения, реструктуризации сети учреждений, а также природно-географических и социально - экономических особенностей регионов.</w:t>
      </w:r>
    </w:p>
    <w:p w:rsidR="004A0E1E" w:rsidRPr="004A0E1E" w:rsidRDefault="004A0E1E" w:rsidP="004A0E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учреждений.</w:t>
      </w:r>
    </w:p>
    <w:p w:rsidR="004A0E1E" w:rsidRPr="004A0E1E" w:rsidRDefault="004A0E1E" w:rsidP="004A0E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потребности в учреждениях социальной сферы в сельской местности следует иметь в виду, что важнейшим фактором доступности социальных учреждений для населения является степень удаленности этих учреждений от мест проживания населения. Определение потребности в социальных объектах для сельского населения должно осуществляться также с учетом конкретных условий, влияющих на организацию социальных услуг населению (плотность населения, состояние дорог, транспорта, климатические условия и т.д.)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Доля библиотечных фондов, занесенных в электронный каталог.</w:t>
      </w:r>
    </w:p>
    <w:p w:rsidR="004A0E1E" w:rsidRPr="004A0E1E" w:rsidRDefault="004A0E1E" w:rsidP="004A0E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760" w:dyaOrig="660">
          <v:shape id="_x0000_i1028" type="#_x0000_t75" style="width:124.6pt;height:42.9pt" o:ole="">
            <v:imagedata r:id="rId11" o:title=""/>
          </v:shape>
          <o:OLEObject Type="Embed" ProgID="Equation.3" ShapeID="_x0000_i1028" DrawAspect="Content" ObjectID="_1772262628" r:id="rId12"/>
        </w:objec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0E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где: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Д3</w:t>
      </w:r>
      <w:r w:rsidRPr="004A0E1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библиотечных фондов, занесенных в электронный каталог (%);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Фэ 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A0E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объем записей электронного каталога в общедоступных библиотеках округа;</w:t>
      </w:r>
    </w:p>
    <w:p w:rsidR="004A0E1E" w:rsidRPr="004A0E1E" w:rsidRDefault="004A0E1E" w:rsidP="004A0E1E">
      <w:pPr>
        <w:spacing w:after="120" w:line="480" w:lineRule="auto"/>
        <w:ind w:left="283" w:firstLine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Фобщ </w:t>
      </w:r>
      <w:r w:rsidRPr="004A0E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 общий объем библиотечных фондов (ед.)</w:t>
      </w:r>
      <w:r w:rsidRPr="004A0E1E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ru-RU"/>
        </w:rPr>
        <w:t>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данных: </w:t>
      </w:r>
      <w:r w:rsidRPr="004A0E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форма федерального статистического наблюдения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6-НК</w:t>
      </w:r>
      <w:r w:rsidRPr="004A0E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Доля общедоступных библиотек округа, оснащенных компьютерным оборудованием и доступом в сеть Интернет.</w:t>
      </w:r>
    </w:p>
    <w:p w:rsidR="004A0E1E" w:rsidRPr="004A0E1E" w:rsidRDefault="004A0E1E" w:rsidP="004A0E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740" w:dyaOrig="660">
          <v:shape id="_x0000_i1029" type="#_x0000_t75" style="width:123.25pt;height:42.9pt" o:ole="">
            <v:imagedata r:id="rId13" o:title=""/>
          </v:shape>
          <o:OLEObject Type="Embed" ProgID="Equation.3" ShapeID="_x0000_i1029" DrawAspect="Content" ObjectID="_1772262629" r:id="rId14"/>
        </w:objec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Д4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общедоступных библиотек округа, оснащенных компьютерным оборудованием и доступом в сеть Интернет (%).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Бк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общедоступных библиотек округа, оснащенных компьютерным оборудованием и доступом в сеть Интернет (ед.).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Бобщ 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общее количество общедоступных библиотек округа (ед.).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Численность участников культурно-досуговых мероприятий (количество посещений на одного жителя).</w:t>
      </w:r>
    </w:p>
    <w:p w:rsidR="004A0E1E" w:rsidRPr="004A0E1E" w:rsidRDefault="004A0E1E" w:rsidP="004A0E1E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80" w:dyaOrig="320">
          <v:shape id="_x0000_i1030" type="#_x0000_t75" style="width:222.9pt;height:19.4pt" o:ole="" o:preferrelative="f">
            <v:imagedata r:id="rId15" o:title=""/>
            <o:lock v:ext="edit" aspectratio="f"/>
          </v:shape>
          <o:OLEObject Type="Embed" ProgID="Equation.3" ShapeID="_x0000_i1030" DrawAspect="Content" ObjectID="_1772262630" r:id="rId16"/>
        </w:objec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участников культурно-досуговых мероприятий (количество посещений на одного жителя) (ед).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Кбибл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посещаемости библиотек округа рассчитывается как отношение числа посещений библиотек к среднегодовой численности постоянного населения округа, утвержденной Росстатом;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Кукдт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посещаемости учреждений культурно-досугового типа округа рассчитывается как отношение числа посетителей культурно-досуговых мероприятий к среднегодовой численности постоянного населения округа, утвержденной Росстатом;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Кмузей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посещаемости музеев области рассчитывается как отношение числа посетителей музея округа к среднегодовой численности постоянного населения округа, утвержденной Росстатом;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данных: </w:t>
      </w:r>
      <w:r w:rsidRPr="004A0E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формы федерального статистического наблюдения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6-НК, 7-НК, 9-НК.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Уровень удовлетворенности граждан качеством предоставления муниципальных услуг в сфере культуры (% от числа опрошенных).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показателю основывается на социологическом опросе населения муниципального округа на тему изучения удовлетворенности населения качеством предоставляемых услуг в сфере культуры (качеством культурного обслуживания).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Отношение средней заработной платы работников учреждений культуры к средней заработной плате по Вологодской области.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00" w:dyaOrig="620">
          <v:shape id="_x0000_i1031" type="#_x0000_t75" style="width:127.4pt;height:40.15pt" o:ole="">
            <v:imagedata r:id="rId17" o:title=""/>
          </v:shape>
          <o:OLEObject Type="Embed" ProgID="Equation.3" ShapeID="_x0000_i1031" DrawAspect="Content" ObjectID="_1772262631" r:id="rId18"/>
        </w:objec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,где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зп-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значение показателя 9 (в процентах)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Сзпрк-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средней заработной платы работников учреждений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Сзпо-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средней заработной платы по Вологодской области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Доля представленных (во всех формах) зрителю музейных предметов в общем количестве музейных предметов основного фонда.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780" w:dyaOrig="660">
          <v:shape id="_x0000_i1032" type="#_x0000_t75" style="width:126pt;height:42.9pt" o:ole="">
            <v:imagedata r:id="rId19" o:title=""/>
          </v:shape>
          <o:OLEObject Type="Embed" ProgID="Equation.3" ShapeID="_x0000_i1032" DrawAspect="Content" ObjectID="_1772262632" r:id="rId20"/>
        </w:objec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Д5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представленных (во всех формах) зрителю музейных предметов в общем количестве музейных предметов основного фонда (в процентах).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Фп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представленных (во всех формах) зрителю музейных предметов.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Фобщ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музейных предметов основного фонда.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Посещаемость музейных учреждений, посещений на одного жителя в год.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219" w:dyaOrig="660">
          <v:shape id="_x0000_i1033" type="#_x0000_t75" style="width:85.85pt;height:42.9pt" o:ole="">
            <v:imagedata r:id="rId21" o:title=""/>
          </v:shape>
          <o:OLEObject Type="Embed" ProgID="Equation.3" ShapeID="_x0000_i1033" DrawAspect="Content" ObjectID="_1772262633" r:id="rId22"/>
        </w:objec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П1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посещений на одного жителя в год.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посетителей музея за отчетный период.</w:t>
      </w:r>
    </w:p>
    <w:p w:rsidR="004A0E1E" w:rsidRPr="004A0E1E" w:rsidRDefault="004A0E1E" w:rsidP="004A0E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Чобщ </w:t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численность населения округа на конец отчетного периода.</w:t>
      </w: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подпрограмме 1.</w:t>
      </w:r>
    </w:p>
    <w:p w:rsidR="004A0E1E" w:rsidRPr="004A0E1E" w:rsidRDefault="004A0E1E" w:rsidP="004A0E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значений целевых индикаторов (показателей) подпрограммы.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данных: формы федерального статистического наблюдения № 7-НК, 8-НК, формы мониторинга деятельности организаций в сфере туризма </w:t>
      </w:r>
    </w:p>
    <w:p w:rsidR="004A0E1E" w:rsidRPr="004A0E1E" w:rsidRDefault="004A0E1E" w:rsidP="004A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подпрограмме 1.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и перечень мероприятий подпрограммы 1 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6" w:type="dxa"/>
        <w:jc w:val="center"/>
        <w:tblLayout w:type="fixed"/>
        <w:tblLook w:val="0000" w:firstRow="0" w:lastRow="0" w:firstColumn="0" w:lastColumn="0" w:noHBand="0" w:noVBand="0"/>
      </w:tblPr>
      <w:tblGrid>
        <w:gridCol w:w="1616"/>
        <w:gridCol w:w="4619"/>
        <w:gridCol w:w="1985"/>
        <w:gridCol w:w="1984"/>
        <w:gridCol w:w="1276"/>
        <w:gridCol w:w="1244"/>
        <w:gridCol w:w="1842"/>
      </w:tblGrid>
      <w:tr w:rsidR="004A0E1E" w:rsidRPr="004A0E1E" w:rsidTr="00DA67DD">
        <w:trPr>
          <w:trHeight w:val="288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4A0E1E" w:rsidRPr="004A0E1E" w:rsidTr="00DA67DD">
        <w:trPr>
          <w:trHeight w:val="277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4A0E1E" w:rsidRPr="004A0E1E" w:rsidTr="00DA67DD">
        <w:trPr>
          <w:trHeight w:val="288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A0E1E" w:rsidRPr="004A0E1E" w:rsidTr="00DA67DD">
        <w:trPr>
          <w:trHeight w:val="288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«Дополнительное образование, поддержка творческих инициатив, библиотечное обслуживание, музейное дело»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71 122,3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48 058,0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48 058,0</w:t>
            </w:r>
          </w:p>
        </w:tc>
      </w:tr>
      <w:tr w:rsidR="004A0E1E" w:rsidRPr="004A0E1E" w:rsidTr="00DA67DD">
        <w:trPr>
          <w:trHeight w:val="38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4 032,3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296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17 749,7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</w:tr>
      <w:tr w:rsidR="004A0E1E" w:rsidRPr="004A0E1E" w:rsidTr="00DA67DD">
        <w:trPr>
          <w:trHeight w:val="243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49 340,3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47 718,0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47 718,0</w:t>
            </w:r>
          </w:p>
        </w:tc>
      </w:tr>
      <w:tr w:rsidR="004A0E1E" w:rsidRPr="004A0E1E" w:rsidTr="00DA67DD">
        <w:trPr>
          <w:trHeight w:val="320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«Реализация программ дополнительного образования детей в сфере культуры и искусства».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7 102,5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8 110,1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8 110,1</w:t>
            </w:r>
          </w:p>
        </w:tc>
      </w:tr>
      <w:tr w:rsidR="004A0E1E" w:rsidRPr="004A0E1E" w:rsidTr="00DA67DD">
        <w:trPr>
          <w:trHeight w:val="317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11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7 102,5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8 110,1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8 110,1</w:t>
            </w:r>
          </w:p>
        </w:tc>
      </w:tr>
      <w:tr w:rsidR="004A0E1E" w:rsidRPr="004A0E1E" w:rsidTr="00DA67DD">
        <w:trPr>
          <w:trHeight w:val="300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«Библиотечное информационно-справочное обслуживание населения».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9 047,3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12 891,2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12 891,2</w:t>
            </w:r>
          </w:p>
        </w:tc>
      </w:tr>
      <w:tr w:rsidR="004A0E1E" w:rsidRPr="004A0E1E" w:rsidTr="00DA67DD">
        <w:trPr>
          <w:trHeight w:val="26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273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9 047,3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12 891,2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12 891,2</w:t>
            </w:r>
          </w:p>
        </w:tc>
      </w:tr>
      <w:tr w:rsidR="004A0E1E" w:rsidRPr="004A0E1E" w:rsidTr="00DA67DD">
        <w:trPr>
          <w:trHeight w:val="499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24 918,9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23 415,5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23 415,5</w:t>
            </w:r>
          </w:p>
        </w:tc>
      </w:tr>
      <w:tr w:rsidR="004A0E1E" w:rsidRPr="004A0E1E" w:rsidTr="00DA67DD">
        <w:trPr>
          <w:trHeight w:val="561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25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24 918,9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23 415,5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23 415,5</w:t>
            </w:r>
          </w:p>
        </w:tc>
      </w:tr>
      <w:tr w:rsidR="004A0E1E" w:rsidRPr="004A0E1E" w:rsidTr="00DA67DD">
        <w:trPr>
          <w:trHeight w:val="276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«Осуществление музейной деятельности»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2 828,7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3 263,2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3 263,2</w:t>
            </w:r>
          </w:p>
        </w:tc>
      </w:tr>
      <w:tr w:rsidR="004A0E1E" w:rsidRPr="004A0E1E" w:rsidTr="00DA67DD">
        <w:trPr>
          <w:trHeight w:val="297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45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2 828,7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3 263,2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3 263,2</w:t>
            </w:r>
          </w:p>
        </w:tc>
      </w:tr>
      <w:tr w:rsidR="004A0E1E" w:rsidRPr="004A0E1E" w:rsidTr="00DA67DD">
        <w:trPr>
          <w:trHeight w:val="301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«Укрепление материально-технической базы и оснащение оборудованием детских школ искусств (приобретение музыкальных инструментов)»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Кичменгско-Городецкого муниципального округа. Управление культуры, молодёжной политики, туризма и спорта.</w:t>
            </w:r>
          </w:p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7 649,5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0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6 177,4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413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51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1 472,1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5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разработке проектно-сметной документации и её экспертизе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5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(оснащение образовательных учреждений в сфере культуры)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5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(капитальный ремонт здания и помещений ДШИ)</w:t>
            </w:r>
          </w:p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5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(текущий ремонт забора около здания ДШИ)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51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муниципальных учреждений отрасли культура (капитальный ремонт здания и помещений ДШИ)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51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6 177,4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37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«Реализация мероприятий, направленных на развитие муниципальных учреждений культуры в части укрепления материально-технической базы библиотек, капитального ремонта, комплектования их фондов, государственная поддержка лучших работников сельских учреждений культуры</w:t>
            </w:r>
            <w:r w:rsidRPr="004A0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6 936,1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378,0</w:t>
            </w:r>
          </w:p>
        </w:tc>
      </w:tr>
      <w:tr w:rsidR="004A0E1E" w:rsidRPr="004A0E1E" w:rsidTr="00DA67DD">
        <w:trPr>
          <w:trHeight w:val="405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05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6 682,9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340,0</w:t>
            </w:r>
          </w:p>
        </w:tc>
      </w:tr>
      <w:tr w:rsidR="004A0E1E" w:rsidRPr="004A0E1E" w:rsidTr="00DA67DD">
        <w:trPr>
          <w:trHeight w:val="92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253,2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38,0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6.1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разработке проектно-сметной документации и её экспертизе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6.2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научно-исследовательских работ по археологическому обследованию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6.3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 комплектование книжных фондов муниципальных библиотек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6.4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 обеспечение развития и укрепления материально-технической базы сельских библиотек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6.5</w:t>
            </w: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 обеспечение развития и укрепления материально-технической базы сельских библиотек (капитальный ремонт)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 w:val="restart"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6.6</w:t>
            </w:r>
          </w:p>
        </w:tc>
        <w:tc>
          <w:tcPr>
            <w:tcW w:w="4619" w:type="dxa"/>
            <w:vMerge w:val="restart"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 w:val="restart"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6.7</w:t>
            </w:r>
          </w:p>
        </w:tc>
        <w:tc>
          <w:tcPr>
            <w:tcW w:w="4619" w:type="dxa"/>
            <w:vMerge w:val="restart"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 обеспечение развития и укрепления материально-технической базы муниципальных учреждений отрасли культуры (капитальный ремонт Трофимовской библиотеки)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4 970,4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75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«Реализация программы развитие муниципальных учреждений культуры в части укрепления материально-технической базы и оснащения оборудованием культурно-досуговых учреждений и государственная </w:t>
            </w: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поддержка лучших работников сельских учреждений культуры, государственная поддержка лучших сельских учреждений культуры».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7 873,2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26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287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4 721,4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65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3 151,8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65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7.1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разработке проектно-сметной документации и ее экспертизе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1 354,0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65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7.2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научно-исследовательских работ по археологическому обследованию земельных участков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65"/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7.3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65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65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65"/>
          <w:jc w:val="center"/>
        </w:trPr>
        <w:tc>
          <w:tcPr>
            <w:tcW w:w="1616" w:type="dxa"/>
            <w:vMerge w:val="restart"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7.4</w:t>
            </w:r>
          </w:p>
        </w:tc>
        <w:tc>
          <w:tcPr>
            <w:tcW w:w="4619" w:type="dxa"/>
            <w:vMerge w:val="restart"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289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2 249,2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225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225"/>
          <w:jc w:val="center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7.5</w:t>
            </w: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(капитальный ремонт филиалов БУК «ЦДК»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225"/>
          <w:jc w:val="center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7.6</w:t>
            </w: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(приобретение спортивного инвентаря (сертификат))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53"/>
          <w:jc w:val="center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7.7</w:t>
            </w: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«Народный бюджет»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2 472,2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53"/>
          <w:jc w:val="center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7.8</w:t>
            </w: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«Народный бюджет»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1 059,6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383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«Реализация мероприятий, направленных на развитие муниципальных учреждений культуры в части укрепления материально-технической базы музеев</w:t>
            </w:r>
            <w:r w:rsidRPr="004A0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Кичменгско-Городецкого муниципального округа. Управление культуры, молодёжной политики, туризма и спорта.</w:t>
            </w:r>
          </w:p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275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280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8.1</w:t>
            </w: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разработке проектно-сметной документации и ее экспертизе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молодёжной политики, туризма и спорта.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62"/>
          <w:jc w:val="center"/>
        </w:trPr>
        <w:tc>
          <w:tcPr>
            <w:tcW w:w="1616" w:type="dxa"/>
            <w:vMerge w:val="restart"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8.2</w:t>
            </w:r>
          </w:p>
        </w:tc>
        <w:tc>
          <w:tcPr>
            <w:tcW w:w="4619" w:type="dxa"/>
            <w:vMerge w:val="restart"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 капитальный ремонт объектов культуры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Кичменгско-Городецкого муниципального округа.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23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572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8.3</w:t>
            </w: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Кичменгско-Городецкого муниципального округа.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9</w:t>
            </w: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«Приспособления зданий муниципальных учреждений дополнительного образования, культуры и территории, прилегающей к зданиям (входные группы, установка пандусов, поручней, подъемных устройств, средств ориентации для инвалидов по зрению и слуху, приспособление санитарно-гигиенического помещения, внутренние пути перемещения и зоны оказания услуг), к нуждам инвалидов»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молодёжной политики, туризма и спорта.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11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А1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«Реализация регионального проекта «Культурна среда»»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4 714,0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11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3 982,3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11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11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565,8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57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57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57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57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 развитие сети учреждений культурно-досугового типа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57"/>
          <w:jc w:val="center"/>
        </w:trPr>
        <w:tc>
          <w:tcPr>
            <w:tcW w:w="1616" w:type="dxa"/>
            <w:vMerge/>
            <w:tcBorders>
              <w:lef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57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57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 обеспечение проведения капитальных ремонтов домов культуры в сельских населённых пунктах, за исключением домов культуры, расположенных на территориях административных центров муниципальных округов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311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282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 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424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созданию и модернизации учреждений культурно-досугового типа в сельской местности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Кичменгско-Городецкого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134"/>
          <w:jc w:val="center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Основное мероприятие </w:t>
            </w: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A</w:t>
            </w: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регионального проекта «Творческие люди»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Управление культуры, молодежной </w:t>
            </w: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политики, туризма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/>
            <w:tcBorders>
              <w:lef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Иные межбюджетные трансферты на государственную поддержку лучших работников сельских учреждений культуры и лучших сельских учреждений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0E1E" w:rsidRPr="004A0E1E" w:rsidTr="00DA67DD">
        <w:trPr>
          <w:trHeight w:val="70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1E" w:rsidRPr="004A0E1E" w:rsidRDefault="004A0E1E" w:rsidP="004A0E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 к подпрограмме 1.</w:t>
      </w: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сводных показателей муниципальных заданий на оказание муниципальных услуг (работ) 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бюджетными учреждениями культуры Кичменгско-Городецкого муниципального округа по подпрограмме 1.</w:t>
      </w: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1417"/>
        <w:gridCol w:w="1276"/>
        <w:gridCol w:w="1701"/>
        <w:gridCol w:w="1984"/>
        <w:gridCol w:w="2127"/>
      </w:tblGrid>
      <w:tr w:rsidR="004A0E1E" w:rsidRPr="004A0E1E" w:rsidTr="00DA67DD">
        <w:tc>
          <w:tcPr>
            <w:tcW w:w="4395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5812" w:type="dxa"/>
            <w:gridSpan w:val="3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4A0E1E" w:rsidRPr="004A0E1E" w:rsidTr="00DA67DD">
        <w:tc>
          <w:tcPr>
            <w:tcW w:w="4395" w:type="dxa"/>
            <w:vMerge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«Реализация дополнительных общеразвивающих программ», (показатель объема – человеко-часы)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 «Реализация программ дополнительного образования детей в сфере культуры и искусства».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14504,3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1 678,2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1 882,6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1 882,6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«Реализация дополнительных общеобразовательных предпрофессиональных программ в области искусств», (показатель объема – человеко-часы)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 «Реализация программ дополнительного образования детей в сфере культуры и искусства». «Фортепиано».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4272,95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1 926,7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2 111,4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2 111,4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 «Реализация программ дополнительного образования детей в сфере культуры и искусства». «Народные инструменты».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5985,95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1 716,3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2 251,6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2 251,6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 «Реализация программ дополнительного образования детей в сфере культуры и искусства». «Живопись».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8467,7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1 217,3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1 296,5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1 296,5</w:t>
            </w:r>
          </w:p>
        </w:tc>
      </w:tr>
      <w:tr w:rsidR="004A0E1E" w:rsidRPr="004A0E1E" w:rsidTr="00DA67DD">
        <w:trPr>
          <w:trHeight w:val="70"/>
        </w:trPr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«Реализация программ дополнительного образования детей в сфере культуры и искусства». «Хореографическое творчество».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10043,7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«Библиотечное, библиографическое и информационное обслуживание пользователей библиотеки» (в стационарных условиях), (показатель объема – количество посещений)</w:t>
            </w:r>
          </w:p>
        </w:tc>
      </w:tr>
      <w:tr w:rsidR="004A0E1E" w:rsidRPr="004A0E1E" w:rsidTr="00DA67DD">
        <w:trPr>
          <w:trHeight w:val="544"/>
        </w:trPr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 «Библиотечное информационно-справочное обслуживание населения».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119237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113284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115549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4 160,1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4 109,9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4 109,9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«Библиотечное, библиографическое и информационное обслуживание пользователей библиотеки» (вне стационара), (показатель объема – количество посещений)</w:t>
            </w:r>
          </w:p>
        </w:tc>
      </w:tr>
      <w:tr w:rsidR="004A0E1E" w:rsidRPr="004A0E1E" w:rsidTr="00DA67DD">
        <w:trPr>
          <w:trHeight w:val="543"/>
        </w:trPr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 «Библиотечное информационно-справочное обслуживание населения».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20172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17146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17483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3 025,3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3 085,9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3 085,9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«Библиотечное, библиографическое и информационное обслуживание пользователей библиотеки» (Удаленно через сеть Интернет), (показатель объема – количество посещений)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 «Библиотечное информационно-справочное обслуживание населения».</w:t>
            </w: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9 495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8555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Услуга «Предоставление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касающихся авторских прав» (Удаленно через сеть Интернет), (показатель объема – количество предоставленных полнотекстовых документов и библиографических записей)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 «Библиотечное информационно-справочное обслуживание населения».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«Библиографическая обработка документов и создание каталогов», (показатель объема – количество документов, записей в электронный каталог)</w:t>
            </w:r>
          </w:p>
        </w:tc>
      </w:tr>
      <w:tr w:rsidR="004A0E1E" w:rsidRPr="004A0E1E" w:rsidTr="00DA67DD">
        <w:trPr>
          <w:trHeight w:val="650"/>
        </w:trPr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 «Библиотечное информационно-справочное обслуживание населения».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1 022,3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1 676,7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1 676,7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«Прокат кино и видеофильмов», (показатель объема – количество киносеансов) платная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 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573,9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«Организация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ценности))» (показатель объема – количество проведенных мероприятий) платная</w:t>
            </w:r>
          </w:p>
        </w:tc>
      </w:tr>
      <w:tr w:rsidR="004A0E1E" w:rsidRPr="004A0E1E" w:rsidTr="00DA67DD">
        <w:trPr>
          <w:trHeight w:val="779"/>
        </w:trPr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 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5 848,7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5 679,3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5 679,3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«Организация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ценности))» (показатель объема – количество проведенных мероприятий) бесплатная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 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5 848,7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5 679,4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5 679,4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«Организация деятельности клубных формирований и формирований самодеятельного народного творчества», (с учетом всех форм) (показатель объема – количество посещений) бесплатная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 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6 043,8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5 682,1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5 682,1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 (по плану) (показатель объема – количество объектов) бесплатная</w:t>
            </w:r>
          </w:p>
        </w:tc>
      </w:tr>
      <w:tr w:rsidR="004A0E1E" w:rsidRPr="004A0E1E" w:rsidTr="00DA67DD">
        <w:trPr>
          <w:trHeight w:val="1268"/>
        </w:trPr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 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907,9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«Организация и проведение официальных спортивных мероприятий» (по заявке), (показатель объема – количество проведенных мероприятий) бесплатная</w:t>
            </w:r>
          </w:p>
        </w:tc>
      </w:tr>
      <w:tr w:rsidR="004A0E1E" w:rsidRPr="004A0E1E" w:rsidTr="00DA67DD">
        <w:trPr>
          <w:trHeight w:val="1054"/>
        </w:trPr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 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4 481,7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4 027,9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4 027,9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«Организация и проведение физкультурных и спортивных мероприятий в рамках Всероссийского физкультурного комплекса «Готов к труду и обороне» (ГТО) (за исключением тестирования выполнения нормативов испытаний комплекса ГТО) по заявке (бесплатная) (показатель объема – количество мероприятий)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 «Предоставление услуг населению в области культурно-досуговой деятельности».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1 037,0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</w:t>
            </w:r>
          </w:p>
        </w:tc>
      </w:tr>
      <w:tr w:rsidR="004A0E1E" w:rsidRPr="004A0E1E" w:rsidTr="00DA67DD">
        <w:trPr>
          <w:trHeight w:val="347"/>
        </w:trPr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«Публичный показ музейных предметов, музейных коллекций» (в стационарных условиях)», (показатель объема – число посетителей) платная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 «Осуществление музейной деятельности»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754,8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754,8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«Публичный показ музейных предметов, музейных коллекций» (вне стационара), (показатель объема – число посетителей) платная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 «Осуществление музейной деятельности»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«Публичный показ музейных предметов, музейных коллекций» (Удаленно через сеть Интернет), (показатель объема – число посетителей) бесплатно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 «Осуществление музейной деятельности»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911,3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911,3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«Создание экспозиций (выставок) музеев, организация выездных выставок (по заявке)», (показатель объема – количество экспозиций) бесплатно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 «Осуществление музейной деятельности»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497,4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605,8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«Создание экспозиций (выставок) музеев, организация выездных выставок (очно)», (показатель объема – количество экспозиций) бесплатно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 «Осуществление музейной деятельности»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461,9</w:t>
            </w:r>
          </w:p>
        </w:tc>
      </w:tr>
      <w:tr w:rsidR="004A0E1E" w:rsidRPr="004A0E1E" w:rsidTr="00DA67DD">
        <w:tc>
          <w:tcPr>
            <w:tcW w:w="14318" w:type="dxa"/>
            <w:gridSpan w:val="7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«Формирование, учет, изучение, обеспечение физического сохранения и безопасности музейных предметов, музейных коллекций», (показатель объема – количество предметов)</w:t>
            </w:r>
          </w:p>
        </w:tc>
      </w:tr>
      <w:tr w:rsidR="004A0E1E" w:rsidRPr="004A0E1E" w:rsidTr="00DA67DD">
        <w:tc>
          <w:tcPr>
            <w:tcW w:w="4395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 «Осуществление музейной деятельности»</w:t>
            </w:r>
          </w:p>
        </w:tc>
        <w:tc>
          <w:tcPr>
            <w:tcW w:w="1418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5887</w:t>
            </w:r>
          </w:p>
        </w:tc>
        <w:tc>
          <w:tcPr>
            <w:tcW w:w="141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1276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</w:t>
            </w:r>
          </w:p>
        </w:tc>
        <w:tc>
          <w:tcPr>
            <w:tcW w:w="1701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2127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156,4</w:t>
            </w:r>
          </w:p>
        </w:tc>
      </w:tr>
    </w:tbl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tabs>
          <w:tab w:val="left" w:pos="15660"/>
        </w:tabs>
        <w:spacing w:after="0" w:line="240" w:lineRule="auto"/>
        <w:ind w:left="900" w:right="46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подпрограмме 2</w:t>
      </w:r>
    </w:p>
    <w:p w:rsidR="004A0E1E" w:rsidRPr="004A0E1E" w:rsidRDefault="004A0E1E" w:rsidP="004A0E1E">
      <w:pPr>
        <w:spacing w:after="0" w:line="240" w:lineRule="auto"/>
        <w:ind w:left="900" w:right="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left="900" w:right="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left="900" w:right="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ind w:left="900" w:right="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перечень мероприятий подпрограммы 2</w:t>
      </w:r>
    </w:p>
    <w:p w:rsidR="004A0E1E" w:rsidRPr="004A0E1E" w:rsidRDefault="004A0E1E" w:rsidP="004A0E1E">
      <w:pPr>
        <w:spacing w:after="0" w:line="240" w:lineRule="auto"/>
        <w:ind w:left="900" w:right="82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местного бюджета</w:t>
      </w:r>
    </w:p>
    <w:p w:rsidR="004A0E1E" w:rsidRPr="004A0E1E" w:rsidRDefault="004A0E1E" w:rsidP="004A0E1E">
      <w:pPr>
        <w:spacing w:after="0" w:line="240" w:lineRule="auto"/>
        <w:ind w:left="900" w:right="82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3680"/>
        <w:gridCol w:w="3672"/>
        <w:gridCol w:w="1847"/>
        <w:gridCol w:w="1474"/>
        <w:gridCol w:w="1527"/>
      </w:tblGrid>
      <w:tr w:rsidR="004A0E1E" w:rsidRPr="004A0E1E" w:rsidTr="00DA67DD">
        <w:trPr>
          <w:trHeight w:val="143"/>
          <w:jc w:val="center"/>
        </w:trPr>
        <w:tc>
          <w:tcPr>
            <w:tcW w:w="2499" w:type="dxa"/>
            <w:vMerge w:val="restart"/>
            <w:shd w:val="clear" w:color="auto" w:fill="auto"/>
          </w:tcPr>
          <w:p w:rsidR="004A0E1E" w:rsidRPr="004A0E1E" w:rsidRDefault="004A0E1E" w:rsidP="004A0E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973" w:type="dxa"/>
            <w:vMerge w:val="restart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основного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164" w:type="dxa"/>
            <w:gridSpan w:val="3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4A0E1E" w:rsidRPr="004A0E1E" w:rsidTr="00DA67DD">
        <w:trPr>
          <w:trHeight w:val="143"/>
          <w:jc w:val="center"/>
        </w:trPr>
        <w:tc>
          <w:tcPr>
            <w:tcW w:w="2499" w:type="dxa"/>
            <w:vMerge/>
            <w:shd w:val="clear" w:color="auto" w:fill="auto"/>
          </w:tcPr>
          <w:p w:rsidR="004A0E1E" w:rsidRPr="004A0E1E" w:rsidRDefault="004A0E1E" w:rsidP="004A0E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56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62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4A0E1E" w:rsidRPr="004A0E1E" w:rsidTr="00DA67DD">
        <w:trPr>
          <w:trHeight w:val="277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4A0E1E" w:rsidRPr="004A0E1E" w:rsidRDefault="004A0E1E" w:rsidP="004A0E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3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A0E1E" w:rsidRPr="004A0E1E" w:rsidTr="00DA67DD">
        <w:trPr>
          <w:trHeight w:val="267"/>
          <w:jc w:val="center"/>
        </w:trPr>
        <w:tc>
          <w:tcPr>
            <w:tcW w:w="2499" w:type="dxa"/>
            <w:vMerge w:val="restart"/>
          </w:tcPr>
          <w:p w:rsidR="004A0E1E" w:rsidRPr="004A0E1E" w:rsidRDefault="004A0E1E" w:rsidP="004A0E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3973" w:type="dxa"/>
            <w:vMerge w:val="restart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условий реализации муниципальной программы»</w:t>
            </w:r>
          </w:p>
        </w:tc>
        <w:tc>
          <w:tcPr>
            <w:tcW w:w="3969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17 187,7</w:t>
            </w:r>
          </w:p>
        </w:tc>
        <w:tc>
          <w:tcPr>
            <w:tcW w:w="156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13 322,6</w:t>
            </w:r>
          </w:p>
        </w:tc>
        <w:tc>
          <w:tcPr>
            <w:tcW w:w="162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13 467,0</w:t>
            </w:r>
          </w:p>
        </w:tc>
      </w:tr>
      <w:tr w:rsidR="004A0E1E" w:rsidRPr="004A0E1E" w:rsidTr="00DA67DD">
        <w:trPr>
          <w:trHeight w:val="143"/>
          <w:jc w:val="center"/>
        </w:trPr>
        <w:tc>
          <w:tcPr>
            <w:tcW w:w="2499" w:type="dxa"/>
            <w:vMerge/>
          </w:tcPr>
          <w:p w:rsidR="004A0E1E" w:rsidRPr="004A0E1E" w:rsidRDefault="004A0E1E" w:rsidP="004A0E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3" w:type="dxa"/>
            <w:vMerge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17 187,7</w:t>
            </w:r>
          </w:p>
        </w:tc>
        <w:tc>
          <w:tcPr>
            <w:tcW w:w="156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13 322,6</w:t>
            </w:r>
          </w:p>
        </w:tc>
        <w:tc>
          <w:tcPr>
            <w:tcW w:w="162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13 467,0</w:t>
            </w:r>
          </w:p>
        </w:tc>
      </w:tr>
      <w:tr w:rsidR="004A0E1E" w:rsidRPr="004A0E1E" w:rsidTr="00DA67DD">
        <w:trPr>
          <w:trHeight w:val="653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4A0E1E" w:rsidRPr="004A0E1E" w:rsidRDefault="004A0E1E" w:rsidP="004A0E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3973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системы управления в сфере культуры»</w:t>
            </w:r>
          </w:p>
        </w:tc>
        <w:tc>
          <w:tcPr>
            <w:tcW w:w="3969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молодёжной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3 843,5</w:t>
            </w:r>
          </w:p>
        </w:tc>
        <w:tc>
          <w:tcPr>
            <w:tcW w:w="156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4 158,1</w:t>
            </w:r>
          </w:p>
        </w:tc>
        <w:tc>
          <w:tcPr>
            <w:tcW w:w="162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4 232,2</w:t>
            </w:r>
          </w:p>
        </w:tc>
      </w:tr>
      <w:tr w:rsidR="004A0E1E" w:rsidRPr="004A0E1E" w:rsidTr="00DA67DD">
        <w:trPr>
          <w:trHeight w:val="746"/>
          <w:jc w:val="center"/>
        </w:trPr>
        <w:tc>
          <w:tcPr>
            <w:tcW w:w="2499" w:type="dxa"/>
            <w:tcBorders>
              <w:top w:val="single" w:sz="4" w:space="0" w:color="auto"/>
            </w:tcBorders>
          </w:tcPr>
          <w:p w:rsidR="004A0E1E" w:rsidRPr="004A0E1E" w:rsidRDefault="004A0E1E" w:rsidP="004A0E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</w:t>
            </w:r>
          </w:p>
        </w:tc>
        <w:tc>
          <w:tcPr>
            <w:tcW w:w="3973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хозяйственной деятельности учреждений культуры и дополнительного образования»</w:t>
            </w:r>
          </w:p>
        </w:tc>
        <w:tc>
          <w:tcPr>
            <w:tcW w:w="3969" w:type="dxa"/>
          </w:tcPr>
          <w:p w:rsidR="004A0E1E" w:rsidRPr="004A0E1E" w:rsidRDefault="004A0E1E" w:rsidP="004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Кичменгско-Городецкого муниципального округа</w:t>
            </w:r>
          </w:p>
        </w:tc>
        <w:tc>
          <w:tcPr>
            <w:tcW w:w="1984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13 344,2</w:t>
            </w:r>
          </w:p>
        </w:tc>
        <w:tc>
          <w:tcPr>
            <w:tcW w:w="156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9 164,5</w:t>
            </w:r>
          </w:p>
        </w:tc>
        <w:tc>
          <w:tcPr>
            <w:tcW w:w="1620" w:type="dxa"/>
          </w:tcPr>
          <w:p w:rsidR="004A0E1E" w:rsidRPr="004A0E1E" w:rsidRDefault="004A0E1E" w:rsidP="004A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9 234,8</w:t>
            </w:r>
          </w:p>
        </w:tc>
      </w:tr>
    </w:tbl>
    <w:p w:rsidR="004A0E1E" w:rsidRPr="004A0E1E" w:rsidRDefault="004A0E1E" w:rsidP="004A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1E" w:rsidRPr="004A0E1E" w:rsidRDefault="004A0E1E" w:rsidP="004A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A" w:rsidRDefault="00EB31DA"/>
    <w:sectPr w:rsidR="00EB31DA" w:rsidSect="00652BE4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1DC0886"/>
    <w:multiLevelType w:val="hybridMultilevel"/>
    <w:tmpl w:val="3ED874A0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EEF1FA4"/>
    <w:multiLevelType w:val="hybridMultilevel"/>
    <w:tmpl w:val="E36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803C6"/>
    <w:multiLevelType w:val="hybridMultilevel"/>
    <w:tmpl w:val="E36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52"/>
    <w:rsid w:val="00132552"/>
    <w:rsid w:val="004A0E1E"/>
    <w:rsid w:val="00E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4B54-2AF6-4343-914B-827FE7A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E1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A0E1E"/>
  </w:style>
  <w:style w:type="character" w:customStyle="1" w:styleId="a3">
    <w:name w:val="Гипертекстовая ссылка"/>
    <w:rsid w:val="004A0E1E"/>
    <w:rPr>
      <w:rFonts w:cs="Times New Roman"/>
      <w:b/>
      <w:bCs/>
      <w:color w:val="008000"/>
    </w:rPr>
  </w:style>
  <w:style w:type="character" w:customStyle="1" w:styleId="FontStyle87">
    <w:name w:val="Font Style87"/>
    <w:rsid w:val="004A0E1E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qFormat/>
    <w:rsid w:val="004A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4A0E1E"/>
    <w:rPr>
      <w:rFonts w:ascii="Arial" w:hAnsi="Arial"/>
      <w:sz w:val="18"/>
    </w:rPr>
  </w:style>
  <w:style w:type="paragraph" w:styleId="a5">
    <w:name w:val="Body Text"/>
    <w:basedOn w:val="a"/>
    <w:link w:val="a6"/>
    <w:rsid w:val="004A0E1E"/>
    <w:pPr>
      <w:spacing w:after="12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A0E1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4A0E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4A0E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4A0E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7">
    <w:name w:val="Font Style17"/>
    <w:rsid w:val="004A0E1E"/>
    <w:rPr>
      <w:rFonts w:ascii="Times New Roman" w:hAnsi="Times New Roman" w:cs="Times New Roman"/>
      <w:sz w:val="26"/>
      <w:szCs w:val="26"/>
    </w:rPr>
  </w:style>
  <w:style w:type="paragraph" w:customStyle="1" w:styleId="CharChar4">
    <w:name w:val="Char Char4 Знак Знак Знак"/>
    <w:basedOn w:val="a"/>
    <w:rsid w:val="004A0E1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7">
    <w:name w:val="Текст выноски Знак"/>
    <w:link w:val="a8"/>
    <w:semiHidden/>
    <w:rsid w:val="004A0E1E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4A0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A0E1E"/>
    <w:rPr>
      <w:rFonts w:ascii="Segoe UI" w:hAnsi="Segoe UI" w:cs="Segoe UI"/>
      <w:sz w:val="18"/>
      <w:szCs w:val="18"/>
    </w:rPr>
  </w:style>
  <w:style w:type="character" w:customStyle="1" w:styleId="FontStyle83">
    <w:name w:val="Font Style83"/>
    <w:rsid w:val="004A0E1E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4A0E1E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4A0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0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link w:val="aa"/>
    <w:rsid w:val="004A0E1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rsid w:val="004A0E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A0E1E"/>
  </w:style>
  <w:style w:type="paragraph" w:styleId="ab">
    <w:name w:val="No Spacing"/>
    <w:link w:val="ac"/>
    <w:uiPriority w:val="1"/>
    <w:qFormat/>
    <w:rsid w:val="004A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A0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0E1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5046</Words>
  <Characters>28763</Characters>
  <Application>Microsoft Office Word</Application>
  <DocSecurity>0</DocSecurity>
  <Lines>239</Lines>
  <Paragraphs>67</Paragraphs>
  <ScaleCrop>false</ScaleCrop>
  <Company/>
  <LinksUpToDate>false</LinksUpToDate>
  <CharactersWithSpaces>33742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2024-03-18T07:23:00Z</dcterms:created>
  <dcterms:modified xsi:type="dcterms:W3CDTF">2024-03-18T07:24:00Z</dcterms:modified>
</cp:coreProperties>
</file>