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BA" w:rsidRPr="001D58BA" w:rsidRDefault="001D58BA" w:rsidP="001D58BA">
      <w:pPr>
        <w:ind w:firstLine="567"/>
        <w:jc w:val="center"/>
        <w:rPr>
          <w:b/>
          <w:color w:val="000000"/>
        </w:rPr>
      </w:pPr>
      <w:r w:rsidRPr="001D58BA">
        <w:rPr>
          <w:b/>
          <w:color w:val="000000"/>
        </w:rPr>
        <w:t>Объем распределяемой субсидии</w:t>
      </w:r>
      <w:bookmarkStart w:id="0" w:name="_GoBack"/>
      <w:bookmarkEnd w:id="0"/>
    </w:p>
    <w:p w:rsidR="001D58BA" w:rsidRPr="001D58BA" w:rsidRDefault="001D58BA" w:rsidP="001D58BA">
      <w:pPr>
        <w:ind w:firstLine="567"/>
        <w:jc w:val="center"/>
        <w:rPr>
          <w:b/>
          <w:color w:val="000000"/>
        </w:rPr>
      </w:pPr>
    </w:p>
    <w:p w:rsidR="001D58BA" w:rsidRPr="000B7F44" w:rsidRDefault="001D58BA" w:rsidP="001D58BA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  <w:szCs w:val="28"/>
          <w:lang w:eastAsia="ru-RU"/>
        </w:rPr>
        <w:t>Субсидии предоставляются в пределах бюджетных ассигнований, предусмотренных в бюджете Кичменгско-Городецкого муниципального округа на текущий финансовый год, в том числе за счет субсидий областного бюджета.</w:t>
      </w:r>
    </w:p>
    <w:p w:rsidR="001D58BA" w:rsidRPr="000B7F44" w:rsidRDefault="001D58BA" w:rsidP="001D58BA">
      <w:pPr>
        <w:widowControl w:val="0"/>
        <w:autoSpaceDE w:val="0"/>
        <w:autoSpaceDN w:val="0"/>
        <w:ind w:firstLine="540"/>
        <w:jc w:val="both"/>
        <w:rPr>
          <w:color w:val="000000"/>
          <w:szCs w:val="28"/>
        </w:rPr>
      </w:pPr>
      <w:r w:rsidRPr="000B7F44">
        <w:rPr>
          <w:color w:val="000000"/>
          <w:szCs w:val="28"/>
        </w:rPr>
        <w:t>Объем возмещения затрат организациям или ИП на приобретение специализированного автотранспорта (автолавки) устанавливается в размере не более 83,3 % стоимости специализированного автотранспорта (автолавки), но не более 2 499 000 рублей.</w:t>
      </w:r>
    </w:p>
    <w:p w:rsidR="001D58BA" w:rsidRPr="000B7F44" w:rsidRDefault="001D58BA" w:rsidP="001D58BA">
      <w:pPr>
        <w:ind w:firstLine="567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</w:rPr>
        <w:t xml:space="preserve">Объем собственных средств организации или ИП при приобретении единицы специализированного автотранспорта должен составлять не менее 16.7 % стоимости специализированного автотранспорта (автолавки).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8BA" w:rsidRPr="000B7F44" w:rsidRDefault="001D58BA" w:rsidP="001D58B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F44">
        <w:rPr>
          <w:color w:val="000000"/>
          <w:szCs w:val="28"/>
        </w:rPr>
        <w:t>Уровень компенсации затрат составляет: областной бюджет – 66,7 % стоимости автолавки, но не более 1 666 833 рублей, районный бюджет – 33,3 % стоимости автолавки, но не более 832 167 рублей.</w:t>
      </w:r>
    </w:p>
    <w:p w:rsidR="0014464C" w:rsidRDefault="0014464C"/>
    <w:sectPr w:rsidR="0014464C" w:rsidSect="001D58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34"/>
    <w:rsid w:val="0014464C"/>
    <w:rsid w:val="001D58BA"/>
    <w:rsid w:val="009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9791"/>
  <w15:chartTrackingRefBased/>
  <w15:docId w15:val="{9D39B4D6-F07E-493D-B11D-3C81F52B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B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2024-06-07T11:56:00Z</dcterms:created>
  <dcterms:modified xsi:type="dcterms:W3CDTF">2024-06-07T11:58:00Z</dcterms:modified>
</cp:coreProperties>
</file>