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92" w:rsidRPr="00440F56" w:rsidRDefault="00B2498C" w:rsidP="002E3992">
      <w:pPr>
        <w:pStyle w:val="20"/>
        <w:spacing w:after="0" w:line="240" w:lineRule="auto"/>
        <w:rPr>
          <w:rFonts w:ascii="Times New Roman" w:hAnsi="Times New Roman" w:cs="Times New Roman"/>
        </w:rPr>
      </w:pPr>
      <w:r w:rsidRPr="00440F56">
        <w:rPr>
          <w:rFonts w:ascii="Times New Roman" w:hAnsi="Times New Roman" w:cs="Times New Roman"/>
        </w:rPr>
        <w:t xml:space="preserve">Отдел экологии и природопользования администрации </w:t>
      </w:r>
    </w:p>
    <w:p w:rsidR="009C69D3" w:rsidRPr="00440F56" w:rsidRDefault="00B2498C" w:rsidP="002E3992">
      <w:pPr>
        <w:pStyle w:val="20"/>
        <w:spacing w:after="0" w:line="240" w:lineRule="auto"/>
        <w:rPr>
          <w:rFonts w:ascii="Times New Roman" w:hAnsi="Times New Roman" w:cs="Times New Roman"/>
        </w:rPr>
      </w:pPr>
      <w:r w:rsidRPr="00440F56">
        <w:rPr>
          <w:rFonts w:ascii="Times New Roman" w:hAnsi="Times New Roman" w:cs="Times New Roman"/>
        </w:rPr>
        <w:t>Кичменгско - Городецкого</w:t>
      </w:r>
      <w:r w:rsidRPr="00440F56">
        <w:rPr>
          <w:rFonts w:ascii="Times New Roman" w:hAnsi="Times New Roman" w:cs="Times New Roman"/>
        </w:rPr>
        <w:br/>
        <w:t>муниципального округа сообщает.</w:t>
      </w:r>
    </w:p>
    <w:p w:rsidR="002E3992" w:rsidRPr="00440F56" w:rsidRDefault="002E3992" w:rsidP="002E3992">
      <w:pPr>
        <w:pStyle w:val="1"/>
        <w:spacing w:line="240" w:lineRule="auto"/>
        <w:ind w:firstLine="0"/>
        <w:jc w:val="both"/>
        <w:rPr>
          <w:sz w:val="24"/>
          <w:szCs w:val="24"/>
        </w:rPr>
      </w:pPr>
    </w:p>
    <w:p w:rsidR="002E3992" w:rsidRPr="00440F56" w:rsidRDefault="002E3992" w:rsidP="002E3992">
      <w:pPr>
        <w:pStyle w:val="1"/>
        <w:spacing w:line="240" w:lineRule="auto"/>
        <w:ind w:firstLine="0"/>
        <w:jc w:val="both"/>
        <w:rPr>
          <w:sz w:val="24"/>
          <w:szCs w:val="24"/>
        </w:rPr>
      </w:pPr>
      <w:r w:rsidRPr="00440F56">
        <w:rPr>
          <w:sz w:val="24"/>
          <w:szCs w:val="24"/>
        </w:rPr>
        <w:t>О Федеральном законе от 28 декабря 2024 года № 540-ФЗ</w:t>
      </w:r>
    </w:p>
    <w:p w:rsidR="002E3992" w:rsidRPr="00440F56" w:rsidRDefault="002E3992" w:rsidP="002E3992">
      <w:pPr>
        <w:pStyle w:val="1"/>
        <w:ind w:firstLine="680"/>
        <w:jc w:val="both"/>
        <w:rPr>
          <w:sz w:val="24"/>
          <w:szCs w:val="24"/>
        </w:rPr>
      </w:pPr>
    </w:p>
    <w:p w:rsidR="002E3992" w:rsidRPr="00440F56" w:rsidRDefault="002E3992" w:rsidP="002E3992">
      <w:pPr>
        <w:pStyle w:val="1"/>
        <w:ind w:firstLine="680"/>
        <w:jc w:val="both"/>
        <w:rPr>
          <w:sz w:val="24"/>
          <w:szCs w:val="24"/>
        </w:rPr>
      </w:pPr>
      <w:r w:rsidRPr="00440F56">
        <w:rPr>
          <w:sz w:val="24"/>
          <w:szCs w:val="24"/>
        </w:rPr>
        <w:t>С 28 декабря 2024 года, за исключением отдельных положений, вступил в силу Федеральный закон «О внесении изменений в Федеральный закон «О государственном контроле (надзоре) и муниципальном контроле в Российской Федерации» (далее - Федеральный закон).</w:t>
      </w:r>
    </w:p>
    <w:p w:rsidR="002E3992" w:rsidRPr="00440F56" w:rsidRDefault="002E3992" w:rsidP="002E3992">
      <w:pPr>
        <w:pStyle w:val="1"/>
        <w:ind w:firstLine="680"/>
        <w:jc w:val="both"/>
        <w:rPr>
          <w:sz w:val="24"/>
          <w:szCs w:val="24"/>
        </w:rPr>
      </w:pPr>
      <w:r w:rsidRPr="00440F56">
        <w:rPr>
          <w:sz w:val="24"/>
          <w:szCs w:val="24"/>
        </w:rPr>
        <w:t>Федеральным законом, в частности:</w:t>
      </w:r>
    </w:p>
    <w:p w:rsidR="002E3992" w:rsidRPr="00440F56" w:rsidRDefault="002E3992" w:rsidP="002E3992">
      <w:pPr>
        <w:pStyle w:val="1"/>
        <w:ind w:firstLine="680"/>
        <w:jc w:val="both"/>
        <w:rPr>
          <w:sz w:val="24"/>
          <w:szCs w:val="24"/>
        </w:rPr>
      </w:pPr>
      <w:r w:rsidRPr="00440F56">
        <w:rPr>
          <w:sz w:val="24"/>
          <w:szCs w:val="24"/>
        </w:rPr>
        <w:t>исключены положения, допускающие возможность отказа от системы оценки и управления рисками в рамках видов муниципального контроля. Плановые контрольные (надзорные) мероприятия (далее - КНМ) проводятся контрольными (надзорными) органами (далее - контрольный орган) только в отношении объектов, отнесенных к категории чрезвычайно высокого и высокого риска;</w:t>
      </w:r>
    </w:p>
    <w:p w:rsidR="002E3992" w:rsidRPr="00440F56" w:rsidRDefault="002E3992" w:rsidP="002E3992">
      <w:pPr>
        <w:pStyle w:val="1"/>
        <w:ind w:firstLine="680"/>
        <w:jc w:val="both"/>
        <w:rPr>
          <w:sz w:val="24"/>
          <w:szCs w:val="24"/>
        </w:rPr>
      </w:pPr>
      <w:r w:rsidRPr="00440F56">
        <w:rPr>
          <w:sz w:val="24"/>
          <w:szCs w:val="24"/>
        </w:rPr>
        <w:t>перечень обязательных к проведению профилактических мероприятий, подлежащих закреплению в положениях о видах контроля (далее - положения), дополнены объявлением предостережения и профилактическим визитом;</w:t>
      </w:r>
    </w:p>
    <w:p w:rsidR="002E3992" w:rsidRPr="00440F56" w:rsidRDefault="002E3992" w:rsidP="002E3992">
      <w:pPr>
        <w:pStyle w:val="1"/>
        <w:ind w:firstLine="680"/>
        <w:jc w:val="both"/>
        <w:rPr>
          <w:sz w:val="24"/>
          <w:szCs w:val="24"/>
        </w:rPr>
      </w:pPr>
      <w:r w:rsidRPr="00440F56">
        <w:rPr>
          <w:sz w:val="24"/>
          <w:szCs w:val="24"/>
        </w:rPr>
        <w:t>регламентированы порядки проведения обязательного профилактического визита и профилактического визита по инициативе контролируемого лица;</w:t>
      </w:r>
    </w:p>
    <w:p w:rsidR="002E3992" w:rsidRPr="00440F56" w:rsidRDefault="002E3992" w:rsidP="002E3992">
      <w:pPr>
        <w:pStyle w:val="1"/>
        <w:ind w:firstLine="680"/>
        <w:jc w:val="both"/>
        <w:rPr>
          <w:sz w:val="24"/>
          <w:szCs w:val="24"/>
        </w:rPr>
      </w:pPr>
      <w:r w:rsidRPr="00440F56">
        <w:rPr>
          <w:sz w:val="24"/>
          <w:szCs w:val="24"/>
        </w:rPr>
        <w:t>введен механизм присвоения публичной оценки уровня соблюдения обязательных требований по результатам проведения профилактического мероприятия и (или) КНМ (применение данного механизма может быть предусмотрено положением);</w:t>
      </w:r>
    </w:p>
    <w:p w:rsidR="002E3992" w:rsidRPr="00440F56" w:rsidRDefault="002E3992" w:rsidP="002E3992">
      <w:pPr>
        <w:pStyle w:val="1"/>
        <w:ind w:firstLine="680"/>
        <w:jc w:val="both"/>
        <w:rPr>
          <w:sz w:val="24"/>
          <w:szCs w:val="24"/>
        </w:rPr>
      </w:pPr>
      <w:r w:rsidRPr="00440F56">
        <w:rPr>
          <w:sz w:val="24"/>
          <w:szCs w:val="24"/>
        </w:rPr>
        <w:t xml:space="preserve">закреплена возможность для контролируемых </w:t>
      </w:r>
      <w:r w:rsidR="008F01F4" w:rsidRPr="00440F56">
        <w:rPr>
          <w:sz w:val="24"/>
          <w:szCs w:val="24"/>
        </w:rPr>
        <w:t>лиц провести</w:t>
      </w:r>
      <w:r w:rsidRPr="00440F56">
        <w:rPr>
          <w:sz w:val="24"/>
          <w:szCs w:val="24"/>
        </w:rPr>
        <w:t xml:space="preserve"> самообследование без идентификации (анонимно). Установлено, что декларация соблюдения обязательных требований аннулируется решением, принимаемым по результатам КНМ, в частности,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самообследовании. Положением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 если принятие данной декларации предусмотрено положением;</w:t>
      </w:r>
    </w:p>
    <w:p w:rsidR="002E3992" w:rsidRPr="00440F56" w:rsidRDefault="002E3992" w:rsidP="002E3992">
      <w:pPr>
        <w:pStyle w:val="1"/>
        <w:ind w:firstLine="680"/>
        <w:jc w:val="both"/>
        <w:rPr>
          <w:sz w:val="24"/>
          <w:szCs w:val="24"/>
        </w:rPr>
      </w:pPr>
      <w:r w:rsidRPr="00440F56">
        <w:rPr>
          <w:sz w:val="24"/>
          <w:szCs w:val="24"/>
        </w:rPr>
        <w:t>уточнен перечень оснований, при наличии которых принимается решение о проведении КНМ, предусматривающих взаимодействие с контролируемыми лицами. В частности, решение о проведении КНМ принимается при уклонении от проведения обязательного профилактического визита;</w:t>
      </w:r>
    </w:p>
    <w:p w:rsidR="002E3992" w:rsidRPr="00440F56" w:rsidRDefault="002E3992" w:rsidP="002E3992">
      <w:pPr>
        <w:pStyle w:val="1"/>
        <w:ind w:firstLine="680"/>
        <w:jc w:val="both"/>
        <w:rPr>
          <w:sz w:val="24"/>
          <w:szCs w:val="24"/>
        </w:rPr>
      </w:pPr>
      <w:r w:rsidRPr="00440F56">
        <w:rPr>
          <w:sz w:val="24"/>
          <w:szCs w:val="24"/>
        </w:rPr>
        <w:t>установлены случаи выдачи предписания об устранении выявленных нарушений и требования к его содержанию;</w:t>
      </w:r>
    </w:p>
    <w:p w:rsidR="002E3992" w:rsidRPr="00440F56" w:rsidRDefault="002E3992" w:rsidP="002E3992">
      <w:pPr>
        <w:pStyle w:val="1"/>
        <w:ind w:firstLine="680"/>
        <w:jc w:val="both"/>
        <w:rPr>
          <w:sz w:val="24"/>
          <w:szCs w:val="24"/>
        </w:rPr>
      </w:pPr>
      <w:r w:rsidRPr="00440F56">
        <w:rPr>
          <w:sz w:val="24"/>
          <w:szCs w:val="24"/>
        </w:rPr>
        <w:t>предусмотрены случаи проведения внеплановой документарной проверки по согласованию с органами прокуратуры (ранее данного согласования не требовалось);</w:t>
      </w:r>
    </w:p>
    <w:p w:rsidR="002E3992" w:rsidRPr="00440F56" w:rsidRDefault="002E3992" w:rsidP="002E3992">
      <w:pPr>
        <w:pStyle w:val="1"/>
        <w:ind w:firstLine="680"/>
        <w:jc w:val="both"/>
        <w:rPr>
          <w:sz w:val="24"/>
          <w:szCs w:val="24"/>
        </w:rPr>
      </w:pPr>
      <w:r w:rsidRPr="00440F56">
        <w:rPr>
          <w:sz w:val="24"/>
          <w:szCs w:val="24"/>
        </w:rPr>
        <w:t>установлено, что в случае, если проведение КНМ оказалось невозможным в связи с действиями (бездействием) контролируемого лица, то такое же мероприятие может быть проведено не позднее трех месяцев с даты составления акта о невозможности его проведения. Контрольный орган вправе принять решение о проведении в отношении контролируемого лица такого же • КНМ без предварительного уведомления контролируемого лица и без согласования с органами прокуратуры;</w:t>
      </w:r>
    </w:p>
    <w:p w:rsidR="002E3992" w:rsidRPr="00440F56" w:rsidRDefault="002E3992" w:rsidP="002E3992">
      <w:pPr>
        <w:pStyle w:val="1"/>
        <w:ind w:firstLine="680"/>
        <w:jc w:val="both"/>
        <w:rPr>
          <w:sz w:val="24"/>
          <w:szCs w:val="24"/>
        </w:rPr>
      </w:pPr>
      <w:r w:rsidRPr="00440F56">
        <w:rPr>
          <w:sz w:val="24"/>
          <w:szCs w:val="24"/>
        </w:rPr>
        <w:t xml:space="preserve">закреплено право контролируемого лица при осуществлении контроля отказать инспектору в доступе на объекты контроля, к документам и в принятии иных мер по осуществлению КНМ в </w:t>
      </w:r>
      <w:r w:rsidRPr="00440F56">
        <w:rPr>
          <w:sz w:val="24"/>
          <w:szCs w:val="24"/>
        </w:rPr>
        <w:lastRenderedPageBreak/>
        <w:t>случае, если на документах, оформленных контрольным органом, отсутствует либо нанесен некорректный двухмерный штриховой код, обеспечивающий переход на страницу указанного мероприятия в Едином реестре КНМ;</w:t>
      </w:r>
    </w:p>
    <w:p w:rsidR="002E3992" w:rsidRPr="00440F56" w:rsidRDefault="002E3992" w:rsidP="002E3992">
      <w:pPr>
        <w:pStyle w:val="1"/>
        <w:ind w:firstLine="680"/>
        <w:jc w:val="both"/>
        <w:rPr>
          <w:sz w:val="24"/>
          <w:szCs w:val="24"/>
        </w:rPr>
      </w:pPr>
      <w:r w:rsidRPr="00440F56">
        <w:rPr>
          <w:sz w:val="24"/>
          <w:szCs w:val="24"/>
        </w:rPr>
        <w:t>предусмотрено право контролируемого лица, в отношении которого выявлены нарушения обязательных требований, подать ходатайство о заключении с контрольным органом соглашения о надлежащем устранении выявленных нарушений обязательных требований;</w:t>
      </w:r>
    </w:p>
    <w:p w:rsidR="002E3992" w:rsidRPr="00440F56" w:rsidRDefault="002E3992" w:rsidP="002E3992">
      <w:pPr>
        <w:pStyle w:val="1"/>
        <w:ind w:firstLine="680"/>
        <w:jc w:val="both"/>
        <w:rPr>
          <w:sz w:val="24"/>
          <w:szCs w:val="24"/>
        </w:rPr>
      </w:pPr>
      <w:r w:rsidRPr="00440F56">
        <w:rPr>
          <w:sz w:val="24"/>
          <w:szCs w:val="24"/>
        </w:rPr>
        <w:t>уточнена процедура досудебного обжалования. В частности, требования к содержанию жалобы дополнены положениями о необходимости указания учетного номера визита, учетного номера объекта контроля в едином реестре видов контроля; до 15 рабочих дней сокращены сроки рассмотрения жалобы (ранее такой срок составлял 20 рабочих дней); исключена возможность продления срока рассмотрения жалобы;</w:t>
      </w:r>
    </w:p>
    <w:p w:rsidR="002E3992" w:rsidRPr="00440F56" w:rsidRDefault="002E3992" w:rsidP="002E3992">
      <w:pPr>
        <w:pStyle w:val="1"/>
        <w:ind w:firstLine="680"/>
        <w:jc w:val="both"/>
        <w:rPr>
          <w:sz w:val="24"/>
          <w:szCs w:val="24"/>
        </w:rPr>
      </w:pPr>
      <w:r w:rsidRPr="00440F56">
        <w:rPr>
          <w:sz w:val="24"/>
          <w:szCs w:val="24"/>
        </w:rPr>
        <w:t>введены нормы, регламентирующие применение индикаторов риска нарушения обязательных требований. Установлена возможность размещать в личных кабинетах контролируемого лица информационной системы сведения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от таких параметров, если такая возможность предусмотрена положением;</w:t>
      </w:r>
    </w:p>
    <w:p w:rsidR="002E3992" w:rsidRPr="00440F56" w:rsidRDefault="002E3992" w:rsidP="002E3992">
      <w:pPr>
        <w:pStyle w:val="1"/>
        <w:ind w:firstLine="680"/>
        <w:jc w:val="both"/>
        <w:rPr>
          <w:sz w:val="24"/>
          <w:szCs w:val="24"/>
        </w:rPr>
      </w:pPr>
      <w:r w:rsidRPr="00440F56">
        <w:rPr>
          <w:sz w:val="24"/>
          <w:szCs w:val="24"/>
        </w:rPr>
        <w:t>предусмотрено проведение удаленного профилактического визита, КНМ, а также осмотра, досмотра, опроса, экспертизы, эксперимента с использованием мобильного приложения «Инспектор»;</w:t>
      </w:r>
    </w:p>
    <w:p w:rsidR="002E3992" w:rsidRPr="00440F56" w:rsidRDefault="002E3992" w:rsidP="002E3992">
      <w:pPr>
        <w:pStyle w:val="1"/>
        <w:ind w:firstLine="660"/>
        <w:jc w:val="both"/>
        <w:rPr>
          <w:sz w:val="24"/>
          <w:szCs w:val="24"/>
        </w:rPr>
      </w:pPr>
      <w:r w:rsidRPr="00440F56">
        <w:rPr>
          <w:sz w:val="24"/>
          <w:szCs w:val="24"/>
        </w:rPr>
        <w:t>расширен состав Единого реестра видов контроля, Единого реестра КНМ.</w:t>
      </w:r>
    </w:p>
    <w:p w:rsidR="002E3992" w:rsidRPr="00440F56" w:rsidRDefault="002E3992" w:rsidP="002E3992">
      <w:pPr>
        <w:pStyle w:val="1"/>
        <w:ind w:firstLine="660"/>
        <w:jc w:val="both"/>
        <w:rPr>
          <w:sz w:val="24"/>
          <w:szCs w:val="24"/>
        </w:rPr>
      </w:pPr>
      <w:r w:rsidRPr="00440F56">
        <w:rPr>
          <w:sz w:val="24"/>
          <w:szCs w:val="24"/>
        </w:rPr>
        <w:t>На основании изложенного требуется организовать работу по внесению изменений в положения о видах муниципального контроля, а также рассмотреть вопрос о внесении изменений в программы профилактики рисков причинения вреда (ущерба) охраняемым законом ценностям.</w:t>
      </w:r>
    </w:p>
    <w:p w:rsidR="002E3992" w:rsidRPr="00440F56" w:rsidRDefault="002E3992" w:rsidP="002E3992">
      <w:pPr>
        <w:pStyle w:val="1"/>
        <w:ind w:firstLine="660"/>
        <w:jc w:val="both"/>
        <w:rPr>
          <w:sz w:val="24"/>
          <w:szCs w:val="24"/>
        </w:rPr>
      </w:pPr>
      <w:r w:rsidRPr="00440F56">
        <w:rPr>
          <w:sz w:val="24"/>
          <w:szCs w:val="24"/>
        </w:rPr>
        <w:t xml:space="preserve">О результатах рассмотрения просим проинформировать Государственно-правовой департамент Администрации Губернатора области до 30 апреля 2025 года. </w:t>
      </w:r>
    </w:p>
    <w:p w:rsidR="002E3992" w:rsidRPr="00440F56" w:rsidRDefault="002E3992" w:rsidP="002E3992">
      <w:pPr>
        <w:widowControl/>
        <w:rPr>
          <w:rFonts w:ascii="Times New Roman" w:eastAsia="Times New Roman" w:hAnsi="Times New Roman" w:cs="Times New Roman"/>
          <w:color w:val="auto"/>
        </w:rPr>
      </w:pPr>
    </w:p>
    <w:p w:rsidR="00440F56" w:rsidRPr="00440F56" w:rsidRDefault="00440F56" w:rsidP="002E3992">
      <w:pPr>
        <w:widowControl/>
        <w:rPr>
          <w:rFonts w:ascii="Times New Roman" w:eastAsia="Times New Roman" w:hAnsi="Times New Roman" w:cs="Times New Roman"/>
          <w:color w:val="auto"/>
        </w:rPr>
      </w:pPr>
    </w:p>
    <w:p w:rsidR="00440F56" w:rsidRDefault="00440F56" w:rsidP="002E3992">
      <w:pPr>
        <w:widowControl/>
        <w:rPr>
          <w:rFonts w:ascii="Times New Roman" w:hAnsi="Times New Roman" w:cs="Times New Roman"/>
        </w:rPr>
      </w:pPr>
      <w:r w:rsidRPr="00440F56">
        <w:rPr>
          <w:rFonts w:ascii="Times New Roman" w:hAnsi="Times New Roman" w:cs="Times New Roman"/>
        </w:rPr>
        <w:t xml:space="preserve">Главный специалист отдела экологии и природопользования администрации Кичменгско Городецкого муниципального округа </w:t>
      </w:r>
      <w:r>
        <w:rPr>
          <w:rFonts w:ascii="Times New Roman" w:hAnsi="Times New Roman" w:cs="Times New Roman"/>
        </w:rPr>
        <w:t>М</w:t>
      </w:r>
      <w:r w:rsidRPr="00440F56">
        <w:rPr>
          <w:rFonts w:ascii="Times New Roman" w:hAnsi="Times New Roman" w:cs="Times New Roman"/>
        </w:rPr>
        <w:t>орозов</w:t>
      </w:r>
      <w:r>
        <w:rPr>
          <w:rFonts w:ascii="Times New Roman" w:hAnsi="Times New Roman" w:cs="Times New Roman"/>
        </w:rPr>
        <w:t xml:space="preserve"> А.А.</w:t>
      </w:r>
    </w:p>
    <w:p w:rsidR="00440F56" w:rsidRDefault="00440F56" w:rsidP="002E3992">
      <w:pPr>
        <w:widowControl/>
        <w:rPr>
          <w:rFonts w:ascii="Times New Roman" w:hAnsi="Times New Roman" w:cs="Times New Roman"/>
        </w:rPr>
      </w:pPr>
    </w:p>
    <w:p w:rsidR="00440F56" w:rsidRDefault="00440F56" w:rsidP="002E3992">
      <w:pPr>
        <w:widowControl/>
        <w:rPr>
          <w:rFonts w:ascii="Times New Roman" w:hAnsi="Times New Roman" w:cs="Times New Roman"/>
        </w:rPr>
      </w:pPr>
    </w:p>
    <w:p w:rsidR="00440F56" w:rsidRPr="00440F56" w:rsidRDefault="00440F56" w:rsidP="002E3992">
      <w:pPr>
        <w:widowControl/>
        <w:rPr>
          <w:rFonts w:ascii="Times New Roman" w:hAnsi="Times New Roman" w:cs="Times New Roman"/>
        </w:rPr>
        <w:sectPr w:rsidR="00440F56" w:rsidRPr="00440F56" w:rsidSect="00440F56">
          <w:pgSz w:w="12240" w:h="15840"/>
          <w:pgMar w:top="794" w:right="731" w:bottom="975" w:left="1418" w:header="459" w:footer="550" w:gutter="0"/>
          <w:cols w:space="720"/>
        </w:sectPr>
      </w:pPr>
      <w:bookmarkStart w:id="0" w:name="_GoBack"/>
      <w:bookmarkEnd w:id="0"/>
    </w:p>
    <w:p w:rsidR="002E3992" w:rsidRDefault="002E3992" w:rsidP="002E3992">
      <w:pPr>
        <w:pStyle w:val="1"/>
        <w:spacing w:after="240"/>
        <w:ind w:firstLine="0"/>
      </w:pPr>
    </w:p>
    <w:p w:rsidR="002E3992" w:rsidRDefault="00B2498C">
      <w:pPr>
        <w:pStyle w:val="1"/>
        <w:ind w:firstLine="720"/>
        <w:jc w:val="both"/>
      </w:pPr>
      <w:r>
        <w:t>Ознакомиться с перечнем объектов, исключенных из государственного регионального реестра, можно на официальном сайте Департамент природных ресурсов, лесного и охотничьего хозяйства области по ссылке</w:t>
      </w:r>
    </w:p>
    <w:p w:rsidR="009C69D3" w:rsidRPr="00440F56" w:rsidRDefault="00B2498C">
      <w:pPr>
        <w:pStyle w:val="1"/>
        <w:ind w:firstLine="720"/>
        <w:jc w:val="both"/>
        <w:rPr>
          <w:lang w:val="en-US"/>
        </w:rPr>
      </w:pPr>
      <w:r>
        <w:t xml:space="preserve"> </w:t>
      </w:r>
      <w:hyperlink r:id="rId6" w:history="1">
        <w:r w:rsidRPr="00440F56">
          <w:rPr>
            <w:color w:val="0563C1"/>
            <w:u w:val="single"/>
            <w:lang w:val="en-US"/>
          </w:rPr>
          <w:t>https://dpr.gov35.ru/dokumenty/detail.php7ELEMENT ID=22807</w:t>
        </w:r>
      </w:hyperlink>
      <w:r w:rsidRPr="00440F56">
        <w:rPr>
          <w:lang w:val="en-US"/>
        </w:rPr>
        <w:t>.</w:t>
      </w:r>
    </w:p>
    <w:sectPr w:rsidR="009C69D3" w:rsidRPr="00440F56" w:rsidSect="009C69D3">
      <w:pgSz w:w="11900" w:h="16840"/>
      <w:pgMar w:top="942" w:right="540" w:bottom="1078" w:left="1103" w:header="514" w:footer="65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BE" w:rsidRDefault="006177BE" w:rsidP="009C69D3">
      <w:r>
        <w:separator/>
      </w:r>
    </w:p>
  </w:endnote>
  <w:endnote w:type="continuationSeparator" w:id="0">
    <w:p w:rsidR="006177BE" w:rsidRDefault="006177BE" w:rsidP="009C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BE" w:rsidRDefault="006177BE"/>
  </w:footnote>
  <w:footnote w:type="continuationSeparator" w:id="0">
    <w:p w:rsidR="006177BE" w:rsidRDefault="006177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D3"/>
    <w:rsid w:val="000B7619"/>
    <w:rsid w:val="002E3992"/>
    <w:rsid w:val="00440F56"/>
    <w:rsid w:val="006177BE"/>
    <w:rsid w:val="008F01F4"/>
    <w:rsid w:val="009C69D3"/>
    <w:rsid w:val="00B2498C"/>
    <w:rsid w:val="00C10BE4"/>
    <w:rsid w:val="00D763FE"/>
    <w:rsid w:val="00F7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03C2"/>
  <w15:docId w15:val="{9F0225D2-6DC1-41CB-80A3-354EE799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69D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C69D3"/>
    <w:rPr>
      <w:rFonts w:ascii="Arial" w:eastAsia="Arial" w:hAnsi="Arial" w:cs="Arial"/>
      <w:b w:val="0"/>
      <w:bCs w:val="0"/>
      <w:i w:val="0"/>
      <w:iCs w:val="0"/>
      <w:smallCaps w:val="0"/>
      <w:strike w:val="0"/>
      <w:u w:val="none"/>
      <w:shd w:val="clear" w:color="auto" w:fill="auto"/>
    </w:rPr>
  </w:style>
  <w:style w:type="character" w:customStyle="1" w:styleId="a3">
    <w:name w:val="Основной текст_"/>
    <w:basedOn w:val="a0"/>
    <w:link w:val="1"/>
    <w:rsid w:val="009C69D3"/>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20">
    <w:name w:val="Основной текст (2)"/>
    <w:basedOn w:val="a"/>
    <w:link w:val="2"/>
    <w:rsid w:val="009C69D3"/>
    <w:pPr>
      <w:spacing w:after="600" w:line="197" w:lineRule="auto"/>
      <w:jc w:val="center"/>
    </w:pPr>
    <w:rPr>
      <w:rFonts w:ascii="Arial" w:eastAsia="Arial" w:hAnsi="Arial" w:cs="Arial"/>
    </w:rPr>
  </w:style>
  <w:style w:type="paragraph" w:customStyle="1" w:styleId="1">
    <w:name w:val="Основной текст1"/>
    <w:basedOn w:val="a"/>
    <w:link w:val="a3"/>
    <w:rsid w:val="009C69D3"/>
    <w:pPr>
      <w:spacing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4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pr.gov35.ru/dokumenty/detail.php?ELEMENT_ID=2280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Афоничева Анна Михайловна</dc:creator>
  <cp:keywords/>
  <cp:lastModifiedBy>eco</cp:lastModifiedBy>
  <cp:revision>5</cp:revision>
  <dcterms:created xsi:type="dcterms:W3CDTF">2025-02-20T05:16:00Z</dcterms:created>
  <dcterms:modified xsi:type="dcterms:W3CDTF">2025-02-20T06:22:00Z</dcterms:modified>
</cp:coreProperties>
</file>