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486970" w:rsidRDefault="00486970" w:rsidP="00486970">
      <w:pPr>
        <w:pStyle w:val="ab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486970" w:rsidRDefault="00486970" w:rsidP="00486970">
      <w:pPr>
        <w:pStyle w:val="ab"/>
        <w:ind w:left="-142"/>
      </w:pPr>
    </w:p>
    <w:p w:rsidR="00486970" w:rsidRDefault="00486970" w:rsidP="00486970">
      <w:pPr>
        <w:pStyle w:val="ab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486970" w:rsidRDefault="00486970" w:rsidP="00486970">
      <w:pPr>
        <w:pStyle w:val="3"/>
        <w:rPr>
          <w:b/>
          <w:sz w:val="40"/>
          <w:szCs w:val="40"/>
        </w:rPr>
      </w:pPr>
    </w:p>
    <w:p w:rsidR="00486970" w:rsidRDefault="00486970" w:rsidP="00486970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86970" w:rsidRDefault="00486970" w:rsidP="00486970">
      <w:pPr>
        <w:pStyle w:val="ab"/>
        <w:rPr>
          <w:b w:val="0"/>
          <w:sz w:val="24"/>
          <w:szCs w:val="24"/>
        </w:rPr>
      </w:pPr>
      <w:r>
        <w:t xml:space="preserve">  </w:t>
      </w:r>
    </w:p>
    <w:p w:rsidR="00486970" w:rsidRDefault="00486970" w:rsidP="00486970">
      <w:pPr>
        <w:rPr>
          <w:sz w:val="20"/>
          <w:szCs w:val="28"/>
        </w:rPr>
      </w:pPr>
    </w:p>
    <w:p w:rsidR="00486970" w:rsidRDefault="00486970" w:rsidP="00486970">
      <w:pPr>
        <w:tabs>
          <w:tab w:val="left" w:pos="4215"/>
        </w:tabs>
        <w:rPr>
          <w:sz w:val="28"/>
          <w:szCs w:val="28"/>
          <w:u w:val="single"/>
        </w:rPr>
      </w:pPr>
      <w:r>
        <w:t xml:space="preserve">                </w:t>
      </w:r>
      <w:r w:rsidR="00C00D37">
        <w:rPr>
          <w:sz w:val="28"/>
          <w:szCs w:val="28"/>
        </w:rPr>
        <w:t>от 18</w:t>
      </w:r>
      <w:bookmarkStart w:id="0" w:name="_GoBack"/>
      <w:bookmarkEnd w:id="0"/>
      <w:r w:rsidR="00C00D37">
        <w:rPr>
          <w:sz w:val="28"/>
          <w:szCs w:val="28"/>
        </w:rPr>
        <w:t>.12.2024       № 1117</w:t>
      </w:r>
    </w:p>
    <w:p w:rsidR="00486970" w:rsidRDefault="00224BF8" w:rsidP="00486970">
      <w:pPr>
        <w:rPr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3970" t="8255" r="5080" b="107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2229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V7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SOtMZl0NAqXY21EbP6tVsNf3ukNJlQ9SBR4ZvFwNpWchI3qWEjTOAv+++aAYx5Oh1bNO5&#10;tm2AhAagc1TjcleDnz2icJiNJrOn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BAj3V7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3970" t="8255" r="5080" b="1079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DAE4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+G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9Vc+G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486970">
        <w:t xml:space="preserve">                  </w:t>
      </w:r>
      <w:r w:rsidR="00486970">
        <w:rPr>
          <w:szCs w:val="24"/>
        </w:rPr>
        <w:t>с. Кичменгский Городок</w:t>
      </w:r>
    </w:p>
    <w:p w:rsidR="00486970" w:rsidRDefault="00224BF8" w:rsidP="00486970">
      <w:pPr>
        <w:shd w:val="clear" w:color="auto" w:fill="FFFFFF"/>
        <w:tabs>
          <w:tab w:val="left" w:pos="0"/>
          <w:tab w:val="left" w:pos="2917"/>
        </w:tabs>
        <w:spacing w:line="324" w:lineRule="exact"/>
        <w:rPr>
          <w:sz w:val="20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107950</wp:posOffset>
                </wp:positionV>
                <wp:extent cx="0" cy="114300"/>
                <wp:effectExtent l="12065" t="8890" r="698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024F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5pt" to="25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o7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107950</wp:posOffset>
                </wp:positionV>
                <wp:extent cx="228600" cy="0"/>
                <wp:effectExtent l="12065" t="8890" r="6985" b="1016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5E7C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8.5pt" to="253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4b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W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107950</wp:posOffset>
                </wp:positionV>
                <wp:extent cx="228600" cy="0"/>
                <wp:effectExtent l="5080" t="8890" r="13970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28A6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8.5pt" to="13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5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107950</wp:posOffset>
                </wp:positionV>
                <wp:extent cx="0" cy="114300"/>
                <wp:effectExtent l="5080" t="8890" r="1397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69B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8.5pt" to="-4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"/>
            </w:pict>
          </mc:Fallback>
        </mc:AlternateContent>
      </w:r>
      <w:r w:rsidR="00486970">
        <w:rPr>
          <w:szCs w:val="28"/>
        </w:rPr>
        <w:t xml:space="preserve">      </w:t>
      </w:r>
      <w:r w:rsidR="00486970">
        <w:rPr>
          <w:szCs w:val="28"/>
        </w:rPr>
        <w:tab/>
        <w:t xml:space="preserve">                                 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О внесении изменений в постановление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администрации Кичменгско-Городецкого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муниципального округа от 23.01.2023 № 55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«Об утверждении муниципальной программы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>«Управление муниципальными фи</w:t>
      </w:r>
      <w:r w:rsidR="00BE5BA3" w:rsidRPr="002C6591">
        <w:rPr>
          <w:rFonts w:eastAsia="Times New Roman"/>
          <w:bCs/>
          <w:sz w:val="26"/>
          <w:szCs w:val="26"/>
        </w:rPr>
        <w:t xml:space="preserve">нансами </w:t>
      </w:r>
    </w:p>
    <w:p w:rsidR="00A87778" w:rsidRDefault="00BE5BA3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Кичменгско-Городецкого </w:t>
      </w:r>
      <w:r w:rsidR="006D1966" w:rsidRPr="002C6591">
        <w:rPr>
          <w:rFonts w:eastAsia="Times New Roman"/>
          <w:bCs/>
          <w:sz w:val="26"/>
          <w:szCs w:val="26"/>
        </w:rPr>
        <w:t>му</w:t>
      </w:r>
      <w:r w:rsidR="00CC09FC" w:rsidRPr="002C6591">
        <w:rPr>
          <w:rFonts w:eastAsia="Times New Roman"/>
          <w:bCs/>
          <w:sz w:val="26"/>
          <w:szCs w:val="26"/>
        </w:rPr>
        <w:t xml:space="preserve">ниципального </w:t>
      </w:r>
    </w:p>
    <w:p w:rsidR="006D1966" w:rsidRPr="002C6591" w:rsidRDefault="00CC09FC" w:rsidP="00A87778">
      <w:pPr>
        <w:spacing w:line="276" w:lineRule="auto"/>
        <w:ind w:right="375"/>
        <w:rPr>
          <w:sz w:val="20"/>
          <w:szCs w:val="20"/>
        </w:rPr>
      </w:pPr>
      <w:r w:rsidRPr="002C6591">
        <w:rPr>
          <w:rFonts w:eastAsia="Times New Roman"/>
          <w:bCs/>
          <w:sz w:val="26"/>
          <w:szCs w:val="26"/>
        </w:rPr>
        <w:t>округа на 2023-2025</w:t>
      </w:r>
      <w:r w:rsidR="006D1966" w:rsidRPr="002C6591">
        <w:rPr>
          <w:rFonts w:eastAsia="Times New Roman"/>
          <w:bCs/>
          <w:sz w:val="26"/>
          <w:szCs w:val="26"/>
        </w:rPr>
        <w:t xml:space="preserve"> годы»</w:t>
      </w:r>
    </w:p>
    <w:p w:rsidR="006D1966" w:rsidRPr="002C6591" w:rsidRDefault="006D1966" w:rsidP="00A87778">
      <w:pPr>
        <w:spacing w:line="200" w:lineRule="exact"/>
        <w:ind w:right="375"/>
        <w:rPr>
          <w:sz w:val="24"/>
          <w:szCs w:val="24"/>
        </w:rPr>
      </w:pPr>
    </w:p>
    <w:p w:rsidR="003174E5" w:rsidRPr="002C6591" w:rsidRDefault="003174E5" w:rsidP="00A87778">
      <w:pPr>
        <w:spacing w:line="270" w:lineRule="exact"/>
        <w:ind w:right="375"/>
        <w:rPr>
          <w:sz w:val="28"/>
          <w:szCs w:val="28"/>
        </w:rPr>
      </w:pPr>
    </w:p>
    <w:p w:rsidR="006D1966" w:rsidRPr="002C6591" w:rsidRDefault="006D1966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Администрация Кичменгско-Го</w:t>
      </w:r>
      <w:r w:rsidR="000C6780" w:rsidRPr="002C6591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0C6780" w:rsidRPr="002C6591" w:rsidRDefault="000C6780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</w:p>
    <w:p w:rsidR="006D1966" w:rsidRDefault="006D1966" w:rsidP="00A87778">
      <w:pPr>
        <w:ind w:right="375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ПОСТАНОВЛЯЕТ:</w:t>
      </w:r>
    </w:p>
    <w:p w:rsidR="00486970" w:rsidRPr="002C6591" w:rsidRDefault="00486970" w:rsidP="00A87778">
      <w:pPr>
        <w:ind w:right="375"/>
        <w:rPr>
          <w:b/>
          <w:sz w:val="28"/>
          <w:szCs w:val="28"/>
        </w:rPr>
      </w:pPr>
    </w:p>
    <w:p w:rsidR="00B17E97" w:rsidRDefault="00CC09FC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Внести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</w:t>
      </w:r>
      <w:r w:rsidR="00416F4C" w:rsidRPr="003B64A6">
        <w:rPr>
          <w:rFonts w:eastAsia="Times New Roman"/>
          <w:bCs/>
          <w:sz w:val="28"/>
          <w:szCs w:val="28"/>
        </w:rPr>
        <w:t xml:space="preserve"> изменения</w:t>
      </w:r>
      <w:r w:rsidR="003B64A6" w:rsidRPr="003B64A6">
        <w:rPr>
          <w:rFonts w:eastAsia="Times New Roman"/>
          <w:bCs/>
          <w:sz w:val="28"/>
          <w:szCs w:val="28"/>
        </w:rPr>
        <w:t xml:space="preserve">, изложив приложение к постановлению </w:t>
      </w:r>
      <w:r w:rsidR="000C6780" w:rsidRPr="003B64A6">
        <w:rPr>
          <w:rFonts w:eastAsia="Times New Roman"/>
          <w:bCs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3174E5" w:rsidRPr="003B64A6" w:rsidRDefault="006D1966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3B64A6">
        <w:rPr>
          <w:rFonts w:eastAsia="Times New Roman"/>
          <w:bCs/>
          <w:sz w:val="28"/>
          <w:szCs w:val="28"/>
        </w:rPr>
        <w:t xml:space="preserve"> вступает в силу после его официального опубликования в газете «Заря Севера»</w:t>
      </w:r>
      <w:r w:rsidR="000C6780" w:rsidRPr="003B64A6">
        <w:rPr>
          <w:rFonts w:eastAsia="Times New Roman"/>
          <w:bCs/>
          <w:sz w:val="28"/>
          <w:szCs w:val="28"/>
        </w:rPr>
        <w:t xml:space="preserve"> и</w:t>
      </w:r>
      <w:r w:rsidRPr="003B64A6">
        <w:rPr>
          <w:rFonts w:eastAsia="Times New Roman"/>
          <w:bCs/>
          <w:sz w:val="28"/>
          <w:szCs w:val="28"/>
        </w:rPr>
        <w:t xml:space="preserve">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6D1966" w:rsidRDefault="006D1966" w:rsidP="00A87778">
      <w:pPr>
        <w:ind w:right="375"/>
        <w:rPr>
          <w:sz w:val="28"/>
          <w:szCs w:val="28"/>
        </w:rPr>
      </w:pPr>
    </w:p>
    <w:p w:rsidR="00371A79" w:rsidRPr="002C6591" w:rsidRDefault="00371A79" w:rsidP="00A87778">
      <w:pPr>
        <w:ind w:right="375"/>
        <w:rPr>
          <w:sz w:val="28"/>
          <w:szCs w:val="28"/>
        </w:rPr>
      </w:pPr>
    </w:p>
    <w:p w:rsidR="00486970" w:rsidRPr="00486970" w:rsidRDefault="00486970" w:rsidP="00486970">
      <w:pPr>
        <w:ind w:right="375"/>
        <w:rPr>
          <w:rFonts w:eastAsia="Times New Roman"/>
          <w:bCs/>
          <w:sz w:val="28"/>
          <w:szCs w:val="28"/>
        </w:rPr>
      </w:pPr>
      <w:r w:rsidRPr="00486970">
        <w:rPr>
          <w:rFonts w:eastAsia="Times New Roman"/>
          <w:bCs/>
          <w:sz w:val="28"/>
          <w:szCs w:val="28"/>
        </w:rPr>
        <w:t xml:space="preserve">Глава Кичменгско-Городецкого </w:t>
      </w:r>
    </w:p>
    <w:p w:rsidR="00486970" w:rsidRPr="00486970" w:rsidRDefault="00486970" w:rsidP="00486970">
      <w:pPr>
        <w:ind w:right="375"/>
        <w:rPr>
          <w:rFonts w:eastAsia="Times New Roman"/>
          <w:bCs/>
          <w:sz w:val="28"/>
          <w:szCs w:val="28"/>
        </w:rPr>
      </w:pPr>
      <w:r w:rsidRPr="00486970">
        <w:rPr>
          <w:rFonts w:eastAsia="Times New Roman"/>
          <w:bCs/>
          <w:sz w:val="28"/>
          <w:szCs w:val="28"/>
        </w:rPr>
        <w:t>муниципального округа                                                                             С.А.Ордин</w:t>
      </w:r>
    </w:p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416F4C" w:rsidRDefault="00416F4C" w:rsidP="00A87778">
      <w:pPr>
        <w:ind w:right="233"/>
        <w:jc w:val="right"/>
      </w:pPr>
    </w:p>
    <w:p w:rsidR="00C42073" w:rsidRDefault="00C42073" w:rsidP="00A87778">
      <w:pPr>
        <w:ind w:right="233"/>
        <w:jc w:val="right"/>
      </w:pPr>
    </w:p>
    <w:p w:rsidR="003B64A6" w:rsidRDefault="003B64A6" w:rsidP="00486970">
      <w:pPr>
        <w:ind w:right="233"/>
      </w:pPr>
    </w:p>
    <w:p w:rsidR="00EA788D" w:rsidRPr="002C6591" w:rsidRDefault="007F56BA" w:rsidP="00A87778">
      <w:pPr>
        <w:ind w:right="233"/>
        <w:jc w:val="right"/>
      </w:pPr>
      <w:r w:rsidRPr="002C6591">
        <w:lastRenderedPageBreak/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</w:t>
      </w:r>
      <w:r w:rsidR="00486970">
        <w:t xml:space="preserve">18.12.2024 </w:t>
      </w:r>
      <w:r w:rsidRPr="002C6591">
        <w:t>№</w:t>
      </w:r>
      <w:r w:rsidR="00C42073">
        <w:t xml:space="preserve"> </w:t>
      </w:r>
      <w:r w:rsidR="00486970">
        <w:t>1117</w:t>
      </w:r>
      <w:r w:rsidR="003B64A6">
        <w:t xml:space="preserve"> 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Кичменгско-Городецкого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инансами Кичменгско-Городецкого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объема безвозмездных поступлений 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Кичменгско-Городецкого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185626">
              <w:rPr>
                <w:sz w:val="24"/>
                <w:szCs w:val="24"/>
              </w:rPr>
              <w:t>645 </w:t>
            </w:r>
            <w:r w:rsidR="0054565A">
              <w:rPr>
                <w:sz w:val="24"/>
                <w:szCs w:val="24"/>
              </w:rPr>
              <w:t>077</w:t>
            </w:r>
            <w:r w:rsidR="00185626">
              <w:rPr>
                <w:sz w:val="24"/>
                <w:szCs w:val="24"/>
              </w:rPr>
              <w:t>,</w:t>
            </w:r>
            <w:r w:rsidR="0054565A">
              <w:rPr>
                <w:sz w:val="24"/>
                <w:szCs w:val="24"/>
              </w:rPr>
              <w:t>1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185626" w:rsidP="0083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16</w:t>
            </w:r>
            <w:r w:rsidR="005456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54565A">
              <w:rPr>
                <w:sz w:val="24"/>
                <w:szCs w:val="24"/>
              </w:rPr>
              <w:t>657</w:t>
            </w:r>
            <w:r>
              <w:rPr>
                <w:sz w:val="24"/>
                <w:szCs w:val="24"/>
              </w:rPr>
              <w:t>,</w:t>
            </w:r>
            <w:r w:rsidR="0054565A">
              <w:rPr>
                <w:sz w:val="24"/>
                <w:szCs w:val="24"/>
              </w:rPr>
              <w:t>3</w:t>
            </w:r>
            <w:r w:rsidR="00830411" w:rsidRPr="00010E68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2025 г</w:t>
            </w:r>
            <w:r w:rsidR="00185626">
              <w:rPr>
                <w:sz w:val="24"/>
                <w:szCs w:val="24"/>
              </w:rPr>
              <w:t>од – 172 680,2</w:t>
            </w:r>
            <w:r w:rsidRPr="00010E68">
              <w:rPr>
                <w:sz w:val="24"/>
                <w:szCs w:val="24"/>
              </w:rPr>
              <w:t xml:space="preserve"> тыс.руб.;  </w:t>
            </w:r>
          </w:p>
          <w:p w:rsidR="00830411" w:rsidRPr="00830411" w:rsidRDefault="00185626" w:rsidP="008304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176 758,4</w:t>
            </w:r>
            <w:r w:rsidR="00830411" w:rsidRPr="00010E68">
              <w:rPr>
                <w:b/>
                <w:sz w:val="24"/>
                <w:szCs w:val="24"/>
              </w:rPr>
              <w:t xml:space="preserve"> </w:t>
            </w:r>
            <w:r w:rsidR="00830411" w:rsidRPr="00010E68">
              <w:rPr>
                <w:sz w:val="24"/>
                <w:szCs w:val="24"/>
              </w:rPr>
              <w:t>тыс.руб.</w:t>
            </w:r>
            <w:r w:rsidR="00830411"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9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r w:rsidR="00AE4157" w:rsidRPr="002C6591">
        <w:rPr>
          <w:rFonts w:eastAsia="Times New Roman"/>
          <w:bCs/>
          <w:sz w:val="28"/>
          <w:szCs w:val="28"/>
        </w:rPr>
        <w:t>Кичменгско-Городецкого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r w:rsidR="00AE415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r w:rsidR="006A7E6F" w:rsidRPr="002C6591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r w:rsidR="006A7E6F" w:rsidRPr="00135050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r w:rsidR="00090004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Кичменгско-Городецкого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8C5038">
        <w:rPr>
          <w:sz w:val="28"/>
          <w:szCs w:val="28"/>
        </w:rPr>
        <w:t>645 </w:t>
      </w:r>
      <w:r w:rsidR="0054565A">
        <w:rPr>
          <w:sz w:val="28"/>
          <w:szCs w:val="28"/>
        </w:rPr>
        <w:t>077</w:t>
      </w:r>
      <w:r w:rsidR="008C5038">
        <w:rPr>
          <w:sz w:val="28"/>
          <w:szCs w:val="28"/>
        </w:rPr>
        <w:t>,</w:t>
      </w:r>
      <w:r w:rsidR="0054565A">
        <w:rPr>
          <w:sz w:val="28"/>
          <w:szCs w:val="28"/>
        </w:rPr>
        <w:t>1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D5B">
        <w:rPr>
          <w:sz w:val="28"/>
          <w:szCs w:val="28"/>
        </w:rPr>
        <w:t>131 981,2</w:t>
      </w:r>
      <w:r w:rsidR="00055F65">
        <w:rPr>
          <w:sz w:val="28"/>
          <w:szCs w:val="28"/>
        </w:rPr>
        <w:t xml:space="preserve"> тыс.руб.</w:t>
      </w:r>
      <w:r w:rsidR="00055F65" w:rsidRPr="00FC1E74">
        <w:rPr>
          <w:sz w:val="28"/>
          <w:szCs w:val="28"/>
        </w:rPr>
        <w:t>;</w:t>
      </w:r>
    </w:p>
    <w:p w:rsidR="00190301" w:rsidRPr="00010E6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16</w:t>
      </w:r>
      <w:r w:rsidR="0054565A">
        <w:rPr>
          <w:sz w:val="28"/>
          <w:szCs w:val="28"/>
        </w:rPr>
        <w:t>3 657,3</w:t>
      </w:r>
      <w:r w:rsidR="00190301" w:rsidRPr="00010E68">
        <w:rPr>
          <w:sz w:val="28"/>
          <w:szCs w:val="28"/>
        </w:rPr>
        <w:t xml:space="preserve"> тыс.руб.;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C5038">
        <w:rPr>
          <w:sz w:val="28"/>
          <w:szCs w:val="28"/>
        </w:rPr>
        <w:t xml:space="preserve"> год – 172 680,2</w:t>
      </w:r>
      <w:r w:rsidRPr="00010E68">
        <w:rPr>
          <w:sz w:val="20"/>
          <w:szCs w:val="20"/>
        </w:rPr>
        <w:t xml:space="preserve"> </w:t>
      </w:r>
      <w:r w:rsidR="008D1043" w:rsidRPr="00010E68">
        <w:rPr>
          <w:sz w:val="28"/>
          <w:szCs w:val="28"/>
        </w:rPr>
        <w:t>тыс.руб.;</w:t>
      </w:r>
      <w:r w:rsidRPr="00010E68">
        <w:rPr>
          <w:sz w:val="28"/>
          <w:szCs w:val="28"/>
        </w:rPr>
        <w:t xml:space="preserve">  </w:t>
      </w:r>
    </w:p>
    <w:p w:rsidR="0084224B" w:rsidRPr="008C503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176 758,4</w:t>
      </w:r>
      <w:r w:rsidR="00190301" w:rsidRPr="00010E68">
        <w:rPr>
          <w:b/>
          <w:sz w:val="20"/>
          <w:szCs w:val="20"/>
        </w:rPr>
        <w:t xml:space="preserve"> </w:t>
      </w:r>
      <w:r w:rsidR="00190301" w:rsidRPr="00010E68">
        <w:rPr>
          <w:sz w:val="28"/>
          <w:szCs w:val="28"/>
        </w:rPr>
        <w:t>тыс.руб.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D44D5B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</w:t>
      </w:r>
      <w:r w:rsidR="00515244" w:rsidRPr="00D44D5B">
        <w:rPr>
          <w:rFonts w:eastAsia="Times New Roman"/>
          <w:bCs/>
          <w:sz w:val="28"/>
          <w:szCs w:val="28"/>
        </w:rPr>
        <w:t xml:space="preserve"> за 2023 год</w:t>
      </w:r>
      <w:r w:rsidR="00C838C6" w:rsidRPr="00D44D5B">
        <w:rPr>
          <w:rFonts w:eastAsia="Times New Roman"/>
          <w:bCs/>
          <w:sz w:val="28"/>
          <w:szCs w:val="28"/>
        </w:rPr>
        <w:t xml:space="preserve"> приведены в приложении 3 к муниципальной программе</w:t>
      </w:r>
      <w:r w:rsidR="00515244" w:rsidRPr="00D44D5B">
        <w:rPr>
          <w:rFonts w:eastAsia="Times New Roman"/>
          <w:bCs/>
          <w:sz w:val="28"/>
          <w:szCs w:val="28"/>
        </w:rPr>
        <w:t>, на 2024-2026 годы – в приложении 4 к муниципальной</w:t>
      </w:r>
      <w:r w:rsidR="00515244">
        <w:rPr>
          <w:rFonts w:eastAsia="Times New Roman"/>
          <w:bCs/>
          <w:sz w:val="28"/>
          <w:szCs w:val="28"/>
        </w:rPr>
        <w:t xml:space="preserve"> программе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 xml:space="preserve"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</w:t>
      </w:r>
      <w:r w:rsidR="00515244">
        <w:rPr>
          <w:rFonts w:eastAsia="Times New Roman"/>
          <w:bCs/>
          <w:sz w:val="28"/>
          <w:szCs w:val="28"/>
        </w:rPr>
        <w:t>5</w:t>
      </w:r>
      <w:r w:rsidR="00C838C6" w:rsidRPr="002C6591">
        <w:rPr>
          <w:rFonts w:eastAsia="Times New Roman"/>
          <w:bCs/>
          <w:sz w:val="28"/>
          <w:szCs w:val="28"/>
        </w:rPr>
        <w:t xml:space="preserve">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EC4FE9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r w:rsidR="00462442" w:rsidRPr="002C6591">
        <w:rPr>
          <w:rFonts w:eastAsia="Times New Roman"/>
          <w:bCs/>
          <w:sz w:val="28"/>
          <w:szCs w:val="28"/>
        </w:rPr>
        <w:t>Кичменгско-</w:t>
      </w:r>
      <w:r w:rsidR="00462442" w:rsidRPr="002C6591">
        <w:rPr>
          <w:rFonts w:eastAsia="Times New Roman"/>
          <w:bCs/>
          <w:sz w:val="28"/>
          <w:szCs w:val="28"/>
        </w:rPr>
        <w:lastRenderedPageBreak/>
        <w:t xml:space="preserve">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C674F5" w:rsidRPr="00D44D5B" w:rsidRDefault="00515244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C674F5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C674F5" w:rsidRPr="00D44D5B">
        <w:rPr>
          <w:sz w:val="28"/>
          <w:szCs w:val="28"/>
        </w:rPr>
        <w:t xml:space="preserve"> расходных обязатель</w:t>
      </w:r>
      <w:r w:rsidR="002D3CCE" w:rsidRPr="00D44D5B">
        <w:rPr>
          <w:sz w:val="28"/>
          <w:szCs w:val="28"/>
        </w:rPr>
        <w:t>ств в части обеспечения выплаты</w:t>
      </w:r>
      <w:r w:rsidRPr="00D44D5B">
        <w:rPr>
          <w:sz w:val="28"/>
          <w:szCs w:val="28"/>
        </w:rPr>
        <w:t xml:space="preserve"> </w:t>
      </w:r>
      <w:r w:rsidR="00C674F5" w:rsidRPr="00D44D5B">
        <w:rPr>
          <w:sz w:val="28"/>
          <w:szCs w:val="28"/>
        </w:rPr>
        <w:t>заработной платы работникам муниципальных учреждений</w:t>
      </w:r>
      <w:r w:rsidR="00E80056" w:rsidRPr="00D44D5B">
        <w:rPr>
          <w:sz w:val="28"/>
          <w:szCs w:val="28"/>
        </w:rPr>
        <w:t xml:space="preserve"> </w:t>
      </w:r>
      <w:r w:rsidR="00A47B02" w:rsidRPr="00D44D5B">
        <w:rPr>
          <w:sz w:val="28"/>
          <w:szCs w:val="28"/>
        </w:rPr>
        <w:t>и работникам органов местного самоуправления</w:t>
      </w:r>
      <w:r w:rsidR="00C674F5" w:rsidRPr="00D44D5B">
        <w:rPr>
          <w:sz w:val="28"/>
          <w:szCs w:val="28"/>
        </w:rPr>
        <w:t>.</w:t>
      </w:r>
    </w:p>
    <w:p w:rsidR="00223C1A" w:rsidRPr="00515244" w:rsidRDefault="00515244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223C1A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223C1A" w:rsidRPr="00515244">
        <w:rPr>
          <w:sz w:val="28"/>
          <w:szCs w:val="28"/>
        </w:rPr>
        <w:t xml:space="preserve"> расходных обязательств в части обеспечения выплаты</w:t>
      </w:r>
      <w:r>
        <w:rPr>
          <w:sz w:val="28"/>
          <w:szCs w:val="28"/>
        </w:rPr>
        <w:t xml:space="preserve"> </w:t>
      </w:r>
      <w:r w:rsidR="00223C1A" w:rsidRPr="00515244">
        <w:rPr>
          <w:sz w:val="28"/>
          <w:szCs w:val="28"/>
        </w:rPr>
        <w:t>заработной платы работникам аппарата управления.</w:t>
      </w:r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>долгом Кичменгско-Городецкого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Кичменгско-Городецкого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>финансов администрации 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формированию бюджетной 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 xml:space="preserve">расходов, внедрению новых механизмов, направленных на реформирование бюджетного процесса, организации внутреннего </w:t>
      </w:r>
      <w:r w:rsidRPr="002C6591">
        <w:rPr>
          <w:rFonts w:eastAsia="Times New Roman"/>
          <w:bCs/>
          <w:sz w:val="28"/>
          <w:szCs w:val="28"/>
        </w:rPr>
        <w:lastRenderedPageBreak/>
        <w:t>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</w:t>
      </w:r>
      <w:r w:rsidRPr="002C6591">
        <w:rPr>
          <w:rFonts w:eastAsia="Times New Roman"/>
          <w:bCs/>
          <w:sz w:val="28"/>
          <w:szCs w:val="28"/>
        </w:rPr>
        <w:lastRenderedPageBreak/>
        <w:t>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r w:rsidR="00B1336C" w:rsidRPr="002C6591">
        <w:rPr>
          <w:rFonts w:eastAsia="Times New Roman"/>
          <w:bCs/>
          <w:sz w:val="28"/>
          <w:szCs w:val="28"/>
        </w:rPr>
        <w:t>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r w:rsidR="004E653F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E2" w:rsidRDefault="00E137E2" w:rsidP="006F0001">
      <w:r>
        <w:separator/>
      </w:r>
    </w:p>
  </w:endnote>
  <w:endnote w:type="continuationSeparator" w:id="0">
    <w:p w:rsidR="00E137E2" w:rsidRDefault="00E137E2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 w:rsidP="0048697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37">
          <w:rPr>
            <w:noProof/>
          </w:rPr>
          <w:t>2</w:t>
        </w:r>
        <w:r>
          <w:fldChar w:fldCharType="end"/>
        </w:r>
      </w:p>
    </w:sdtContent>
  </w:sdt>
  <w:p w:rsidR="006F0001" w:rsidRDefault="006F00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E2" w:rsidRDefault="00E137E2" w:rsidP="006F0001">
      <w:r>
        <w:separator/>
      </w:r>
    </w:p>
  </w:footnote>
  <w:footnote w:type="continuationSeparator" w:id="0">
    <w:p w:rsidR="00E137E2" w:rsidRDefault="00E137E2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E3BE9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85626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4BF8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B64A6"/>
    <w:rsid w:val="003C1EEF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6970"/>
    <w:rsid w:val="0048701C"/>
    <w:rsid w:val="004A6547"/>
    <w:rsid w:val="004B588C"/>
    <w:rsid w:val="004D0F99"/>
    <w:rsid w:val="004D2070"/>
    <w:rsid w:val="004D32CF"/>
    <w:rsid w:val="004D3E16"/>
    <w:rsid w:val="004D5691"/>
    <w:rsid w:val="004E36FB"/>
    <w:rsid w:val="004E653F"/>
    <w:rsid w:val="005050FA"/>
    <w:rsid w:val="00507271"/>
    <w:rsid w:val="00515244"/>
    <w:rsid w:val="0054565A"/>
    <w:rsid w:val="005469E1"/>
    <w:rsid w:val="00554195"/>
    <w:rsid w:val="00565DB0"/>
    <w:rsid w:val="00567FF0"/>
    <w:rsid w:val="005804C2"/>
    <w:rsid w:val="005829FE"/>
    <w:rsid w:val="0059169C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B9D"/>
    <w:rsid w:val="00707143"/>
    <w:rsid w:val="00713AB9"/>
    <w:rsid w:val="00726EC3"/>
    <w:rsid w:val="00733FD1"/>
    <w:rsid w:val="007375D1"/>
    <w:rsid w:val="00762E1F"/>
    <w:rsid w:val="00765FA8"/>
    <w:rsid w:val="00770134"/>
    <w:rsid w:val="00772BC1"/>
    <w:rsid w:val="00795FBA"/>
    <w:rsid w:val="007A34D9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038"/>
    <w:rsid w:val="008C575C"/>
    <w:rsid w:val="008D1043"/>
    <w:rsid w:val="008D252D"/>
    <w:rsid w:val="008D529A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45E9"/>
    <w:rsid w:val="00997079"/>
    <w:rsid w:val="009A1B9F"/>
    <w:rsid w:val="009B153B"/>
    <w:rsid w:val="009B2292"/>
    <w:rsid w:val="009D577F"/>
    <w:rsid w:val="009E18E8"/>
    <w:rsid w:val="009E2D21"/>
    <w:rsid w:val="00A0100A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D37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91FBF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D78"/>
    <w:rsid w:val="00D333A8"/>
    <w:rsid w:val="00D44D5B"/>
    <w:rsid w:val="00D4507E"/>
    <w:rsid w:val="00D62245"/>
    <w:rsid w:val="00D67038"/>
    <w:rsid w:val="00D715D4"/>
    <w:rsid w:val="00D82842"/>
    <w:rsid w:val="00D85F86"/>
    <w:rsid w:val="00D92C55"/>
    <w:rsid w:val="00DC0805"/>
    <w:rsid w:val="00DC1A08"/>
    <w:rsid w:val="00DC536E"/>
    <w:rsid w:val="00DD158E"/>
    <w:rsid w:val="00DE5F9A"/>
    <w:rsid w:val="00DF29D8"/>
    <w:rsid w:val="00DF56A3"/>
    <w:rsid w:val="00DF6069"/>
    <w:rsid w:val="00E11B7E"/>
    <w:rsid w:val="00E11D86"/>
    <w:rsid w:val="00E137E2"/>
    <w:rsid w:val="00E16C88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471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6970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48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486970"/>
    <w:pPr>
      <w:jc w:val="center"/>
    </w:pPr>
    <w:rPr>
      <w:rFonts w:eastAsia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4869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3536-97B3-4C95-BAA8-168961E3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Luda</cp:lastModifiedBy>
  <cp:revision>3</cp:revision>
  <cp:lastPrinted>2025-01-09T07:07:00Z</cp:lastPrinted>
  <dcterms:created xsi:type="dcterms:W3CDTF">2024-12-19T08:23:00Z</dcterms:created>
  <dcterms:modified xsi:type="dcterms:W3CDTF">2025-01-09T07:07:00Z</dcterms:modified>
</cp:coreProperties>
</file>