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142"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КИЧМЕНГСКО-ГОРОДЕЦКОГО МУНИЦИПАЛЬНОГО РАЙОНА ВОЛОГОДСКОЙ ОБЛАСТИ </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ПОСТАНОВЛЕНИЕ</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21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от  12.02.2016г.   № 102</w:t>
      </w:r>
    </w:p>
    <w:p>
      <w:pPr>
        <w:tabs>
          <w:tab w:val="left" w:pos="421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0"/>
          <w:shd w:fill="auto" w:val="clear"/>
        </w:rPr>
        <w:t xml:space="preserve">          с.Кичменгский Городок</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ПОРЯДКЕ ОСУЩЕСТВЛЕНИЯ УПРАВЛЕНИЕМ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ФИНАНСОВ АДМИНИСТРАЦИИ КИЧМЕНГСКО-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ГОРОДЕЦКОГО МУНИЦИПАЛЬНОГО РАЙОНА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ПОЛНОМОЧИЙ ПО ВНУТРЕННЕМУ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МУНИЦИПАЛЬНОМУ ФИНАНСОВОМУ КОНТРОЛЮ</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статьей 269.2</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Бюджетного кодекса Российской Федерации администрация района постановляет: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прилагаемый Порядок осуществления Управлением финансов админисирации Кичменгско-Городецкого муниципального района полномочий по внутреннему муниципальному финансовому контролю.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постановление вступает в силу со дня его официального опубликования, за исключением подпункта "з" пункта 21 прилагаемого Порядка осуществления Управлением финансов администрации Кичменгско-Городецкого муниципального района полномочий по внутреннему муниципальному финансовому контролю.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Подпункт "з" пункта 21 прилагаемого Порядка осуществления Управлением финансов администрации Кичменгско-Городецкого муниципального района полномочий по внутреннему муниципальному финансовому контролю вступает в силу с 1 января 2017 года.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Постановление от 29.09.2015 года № 611 "О порядке осуществления управлением финансов Кичменгско-Городецкого муниципального района полномочий по внутреннему муниципальному финансовому контролю" признать утратившим силу.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ВРИО Главы администрации района                                           Г.П.Труфанова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администрации района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12.02.2016г.  N 102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ОСУЩЕСТВЛЕНИЯ УПРАВЛЕНИЕМ ФИНАНСОВ АДМИНИСТРАЦИИ КИЧМЕНГСКО-ГОРОДЕЦКОГО МУНИЦИПАЛЬНОГО РАЙОНА ПОЛНОМОЧИЙ ПО ВНУТРЕННЕМУ МУНИЦИПАЛЬНОМУ  ФИНАНСОВОМУ КОНТРОЛЮ</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Настоящий Порядок определяет требования к процедурам осуществления Управлением финансов администрации Кичменгско-Городецкого муниципального района (далее– Управление финансов) полномочий по внутреннему муниципальному финансовому контролю (планирование контрольной деятельности, исполнение контрольных мероприятий, составление и представление отчетности о результатах контрольной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Полномочием Управления финансов по осуществлению внутреннего муниципального финансового контроля является проведение контрольных мероприятий на предмет осуществления: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контроля за полнотой и достоверностью отчетности о реализации муниципальных программ района, в том числе отчетности об исполнении муниципальных заданий муниципальными учреждениями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контроля в отношении закупок товаров, работ, услуг для обеспечения муниципальных нужд Кичменгско-Городецкого муниципального района, предусмотренного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частью 8 статьи 99</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pPr>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Управление финансов в рамках полномочий, указанных в пункте 2 настоящего Порядка, осуществляет предварительный и последующий контроль за использованием средств районного бюджета, а также межбюджетных трансфертов и бюджетных кредитов, предоставленных сельским поселениям и муниципальным образованиям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Предварительный контроль осуществляется в целях предупреждения и пресечения бюджетных нарушений в процессе исполнения районного бюджета.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Последующий контроль осуществляется по результатам исполнения районного  бюджета в целях установления законности его исполнения, достоверности учета и отчетности.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Объектами внутреннего муниципального финансового контроля, осуществляемого Управлением финансов района (далее - объекты контроля),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главные распорядители (получатели)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муниципальные образования района (главные распорядители  и получатели средств районного бюджета, которым предоставлены межбюджетные трансферты и бюджетные кредиты) в части соблюдения ими целей и условий предоставления межбюджетных трансфертов, бюджетных кредитов, предоставленных из районного бюджета;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муниципальные учреждения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муниципальные унитарные предприятия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хозяйственные товарищества и общества с участием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юридические лица (за исключением муниципальных учреждений района, муниципальных унитарных предприятий, хозяйственных товариществ и обществ с участием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районного бюджета, договоров (соглашений) о предоставлении муниципальных гарантий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кредитные организации, осуществляющие отдельные операции со средствами районного бюджета, в части соблюдения ими условий договоров (соглашений) о предоставлении средств из районного бюджета;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заказчики, контрактные службы, контрактные управляющие, комиссии по осуществлению закупок и их члены, уполномоченные органы, уполномоченные учреждения, специализированные организации, осуществляющие действия, направленные на осуществление закупок товаров, работ, услуг для муниципальных нужд Кичменгско-Городецкого муниципального района в соответствии с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контрактной системе.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Контрольная деятельность подразделяется на плановую и внеплановую. Плановая контрольная деятельность осуществляется в соответствии с планом контрольной деятельности, утверждаемым Управлением финансов. </w:t>
        <w:tab/>
        <w:t xml:space="preserve">Внеплановые контрольные мероприятия осуществляются на основании распоряжений Управления финансов, принятых в случае: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поступления поручений (обращений,требований) Главы района, Главы администрации района;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поступления обращений обращений иных государственных органов, физических и юридических лиц;</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истечения срока исполнения ранее выданного представления и (или) предписания.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w:t>
      </w:r>
      <w:r>
        <w:rPr>
          <w:rFonts w:ascii="Times New Roman" w:hAnsi="Times New Roman" w:cs="Times New Roman" w:eastAsia="Times New Roman"/>
          <w:color w:val="auto"/>
          <w:spacing w:val="0"/>
          <w:position w:val="0"/>
          <w:sz w:val="24"/>
          <w:shd w:fill="auto" w:val="clear"/>
        </w:rPr>
        <w:t xml:space="preserve">Требования к планированию контрольной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Планирование контрольной деятельности осуществляется путем составления и утверждения плана контрольной деятельности на следующий календарный год.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План контрольной деятельности представляет собой перечень контрольных мероприятий (ревизий, проверок, обследований), которые планируется осуществить Управлением финансов в очередном календарном году.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плане контрольной деятельности по каждому контрольному мероприятию устанавливаются объекты контроля, тема контрольного мероприятия, проверяемый период, проверяемые суммы финансового обеспечения деятельности объекта контроля в проверяемом периоде, методы контрольного мероприятия, период проведения контрольного мероприятия, ответственные исполнители.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полномочий Управления финансов, предусмотренных подпунктом "в" пункта 2 настоящего Порядка, в рамках отдельного контрольного мероприятия в план контрольной деятельности не включаются проверяемые суммы финансового обеспечения деятельности объекта контроля в проверяемом периоде.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Периодичность проведения плановых контрольных мероприятий при реализации полномочий Управления финансов, предусмотренных подпунктами "а", "б" пункта 2 настоящего Порядка, в отношении одного объекта контроля и одной темы контрольного мероприятия составляет не более 1 раза в год.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Периодичность проведения плановых контрольных мероприятий при реализации полномочий Управления финансов, предусмотренных подпунктом "в" пункта 2 настоящего Порядка, в отношении одного объекта контроля и одной темы контрольного мероприятия составляет не более 1 раза в шесть месяцев.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В план контрольной деятельности включаются контрольные мероприятия с учетом предложений Главы района, Главы администрации района, начальника Управления финансов, органов прокуратуры, правоохранительных органов, обращений физических или юридических лиц.</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Для получения предложений по формированию плана контрольной деятельности Управлением финансов направляются соответствующие запросы в органы, указанные в пункте 8 настоящего Порядка, в срок не позднее 15 октября года, предшествующего планируемому.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Составление плана контрольной деятельности осуществляется с соблюдением следующих условий: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равномерности нагрузки по осуществлению внутреннего муниципальногоо финансового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обеспеченность трудовыми, материальными и финансовыми ресурсами;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принципа экономической целесообразности проведения контрольных мероприятий (соотношение объема затрат на проведение каждого контрольного мероприятия и проверяемой суммы финансового обеспечения деятельности соответствующих объектов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за последние 5 лет.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План контрольной деятельности Управления финансов утверждается приказом Управления финансов ежегодно до 1 января и размещается на официальном сайте Кичменгско-Городецкого муниципального района в  информационно-телекоммуникационной сети "Интернет" в течение 7 рабочих дней со дня его утверждения.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Внесение изменений в план контрольной деятельности Управления финансов осуществляется на основании мотивированного обращения руководителя структурного подразделения Управления финансов, ответственного за организацию осуществления контрольных мероприятий, с указанием причин необходимости внесения изменений по согласованию с начальником Управления финансов. Изменения в план контрольной деятельности утверждаются приказом Управления финансов и размещаются на официальном сайте Кичменгско-Городецкого муниципального района в  информационно-телекоммуникационной сети "Интернет" в течение 7 рабочих дней со дня его утверждения.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w:t>
      </w:r>
      <w:r>
        <w:rPr>
          <w:rFonts w:ascii="Times New Roman" w:hAnsi="Times New Roman" w:cs="Times New Roman" w:eastAsia="Times New Roman"/>
          <w:color w:val="auto"/>
          <w:spacing w:val="0"/>
          <w:position w:val="0"/>
          <w:sz w:val="24"/>
          <w:shd w:fill="auto" w:val="clear"/>
        </w:rPr>
        <w:t xml:space="preserve">Требования к исполнению контрольных мероприятий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 реализация результатов контрольного мероприятия. Составление и утверждение программы контрольного мероприятия не требуются при реализации полномочий Управления финансов, предусмотренных подпунктом "в" пункта 2 настоящего Порядка, в рамках отдельного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Программа контрольного мероприятия должна содержать описание метода контрольного мероприятия (проверка, ревизия, обследование), тему контрольного мероприятия и наименование объекта контроля, перечень основных вопросов, подлежащих изучению в ходе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Программа контрольного мероприятия, проводимого по обращениям (требованиям) органов прокуратуры, правоохранительных органов согласовывается с органом, направившим обращение (требование) о ее проведении.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Контрольное мероприятие проводится на основании приказа Управления финансов,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срок проведения контрольного мероприятия, состав рабочей группы (должностные лица, уполномоченные на проведение контрольного мероприятия), руководитель (ответственное лицо) рабочей группы.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Под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операций по планированию и осуществлению закупок в отношении деятельности объекта контроля за проверяемый период.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Под ревизией в целях настоящего Порядка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Под обследованием в целях настоящего Порядка понимаются анализ и оценка состояния определенной сферы деятельности объекта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Проверки подразделяются на камеральные и выездные, в том числе встречные, проверки.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камеральными проверками в целях настоящего Порядка понимаются проверки, проводимые по месту нахождения Управления финансов на основании бюджетной (бухгалтерской) отчетности и иных документов, представленных по его запросу.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выездными проверками в целях настоящего Порядка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встречными проверками в целях настоящего Порядка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Лица и организации, в отношении которых проводится встречная проверка, обязаны представить по запросу должностных лиц, входящих в состав рабочей группы, информацию, документы и материалы, относящиеся к тематике выездной и (или) камеральной проверки.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Должностными лицами, осуществляющими полномочия Управления финансов, предусмотренные пунктом 2 настоящего Порядка,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руководитель (заместитель руководителя) Управления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руководитель (заместитель руководителя) структурного подразделения Управления финансов, ответственного за организацию осуществления контрольных мероприятий;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иные муниципальные служащие Управления финансов, включенные в состав рабочей группы приказом Управления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Должностные лица, указанные в пункте 20 настоящего Порядка, имеют право: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осуществлении выездных проверок (ревизий) беспрепятственно по предъявлении служебных удостоверений и копии приказов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обращаться в суд с исковыми заявлениями о возмещении ущерба, причиненного Кичменгско-Городецкому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 с исками о признании осуществленных закупок недействительными в соответствии с Гражданским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признавать планируемую закупку необоснованной.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Должностные лица, указанные в пункте 20 настоящего Порядка, обязаны: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соблюдать требования нормативных правовых актов в установленной сфере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проводить проверки в соответствии с приказом Управления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знакомить руководителя или уполномоченное должностное лицо объекта контроля с копией приказа Управления финансов о проведении выездной проверки, с копиями приказов о внесении изменений в приказ о проведении выездной проверки, а также с результатами проверки;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Ответственность должностных лиц, уполномоченных на проведение контрольных мероприятий, устанавливается должностными регламентами (инструкциями), утвержденными в установленном порядке.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Результаты проверки, ревизии оформляются актом, результаты обследования - заключением.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Срок проведения контрольного мероприятия не может превышать 45 рабочих дней.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случаях, связанных с необходимостью проведения встречных проверок и специальных экспертиз (заключений) на основании мотивированного обращения руководителя рабочей группы, ответственного за проведение контрольного мероприятия, срок контрольного мероприятия может быть продлен путем внесения изменений в приказ Управления финансов о проведении контрольного мероприятия, но не более чем на тридцать рабочих дней.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проведения внеплановых контрольных мероприятий, назначенных в соответствии с обращениями гражданина и (или) организаций, не могут превышать 30 дней со дня поступления токого обращения, а в случаях, предусмотренных частью 2 статьи 12 Федерального закона от 2 мая 2006 года № 59-ФЗ "О порядке рассмотрения обращений граждан Российской Федерации", не могут превышать 60 дней".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Контрольное мероприятие может быть приостановлено в случае отсутствия или частичного отсутствия бухгалтерского (бюджетного) учета в проверяемой организации. Общий срок приостановления контрольного мероприятия не может превышать 45 рабочих дней. На время приостановления проведения контрольного мероприятия течение его срока прерывается.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Решение о приостановлении контрольного мероприятия принимается руководителем (в случае его отсутствия – заместителем руководителя либо лицом, исполняющим обязанности руководителя) Управления финансов в форме приказа на основе информации руководителя рабочей группы.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В срок не позднее 5 рабочих дней со дня подписания приказа о приостановлении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руководителю объекта контроля и (или) органа местного самоуправления района, осуществляющего функции и полномочия учредителя, вручается или направляется копия приказа Управления финансов о приостановлении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руководителю объекта контроля и (или) органа местного самоуправления района, осуществляющего функции и полномочия учредителя, направляется предписание о восстановлении бухгалтерского (бюджетного) учета, которое должно содержать обязательное для исполнения в указанный в предписании срок или, если срок не указан, в течение 30 календарных дней со дня получения предписания требование о восстановлении бухгалтерского (бюджетного) учета.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После истечения срока приостановления контрольного мероприятия проведение контрольного мероприятия возобновляется на основании приказа Управления финансов. В случае невыполнения в установленный срок предписания Управления финансов возбуждается производство по делам об административных правонарушениях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В ходе проверки, ревизии проводятся контрольные действия по документальному и фактическому изучению финансово-хозяйственных операций, операций по планированию и осуществлению закупок объекта контроля по вопросам программы контрольного мероприятия (при ее наличии), устанавливаются объем выборки и ее состав в целях получения доказательств, достаточных для подтверждения результатов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проведении проверки (ревизии)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Контрольные действия могут проводиться сплошным или выборочным способом.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Сплошной способ заключается в проведении контрольного действия в отношении всей совокупности финансово-хозяйственных и иных операций, относящихся к одному вопросу программы контрольного мероприятия (при ее наличии).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Выборочный способ заключается в проведении контрольного действия в отношении части финансово-хозяйственных и иных операций, относящихся к одному вопросу программы контрольного мероприятия (при ее наличии). Объем выборки и ее состав определяются руководителем рабочей группы таким образом, чтобы обеспечить возможность оценки всей совокупности финансовых и хозяйственных и иных операций по изучаемому вопросу.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руководитель рабочей группы исходя из содержания вопроса, объема финансовых и хозяйственных и иных операций, относящихся к этому вопросу, состояния бухгалтерского (бюджетного) учета в проверяемой организации, срока проведения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В ходе проведения обследования осуществляются анализ и оценка состояния сферы деятельности объекта контроля, определенной приказом Управления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Контрольные действия по документальному изучению финансово-хозяйственных и иных операций объекта контроля проводятся по финансовым, бухгалтерским, отчетным документам и иным документам объекта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Контрольные действия по фактическому изучению финансово-хозяйственных и иных операций объекта контроля проводятся путем осмотра, инвентаризации, наблюдения, пересчета, контрольных замеров.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Проведение контрольного мероприятия подлежит документированию в виде контрольного дела, которое должно содержать:</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отражающие подготовку контрольного мероприятия, включая программу мероприятия (при ее наличии);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о выполнении контрольных действий с указанием исполнителей и времени выполнения;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документальные доказательства, подтверждающие выявленные нарушения в финансово-бюджетной сфере и сфере закупок;</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копии обращений, запросов должностных лиц, осуществляющих внутренний муниципальный контроль, и полученные сведения по ним;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промежуточные акты проверок, ревизий; промежуточные заключения обследований.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Контрольное дело подлежит учету и хранению в порядке, установленном управлением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Результаты контрольного мероприятия оформляются актом (заключением).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Акт (заключение) состоит из вводной, описательной и заключительной частей.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Вводная часть акта (заключения) должна содержать следующие сведения: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и место составления акта (заключения);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и дата приказа о проведении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 назначения контрольного мероприятия, в том числе указание на плановый характер либо проведение по обращению, требованию или поручению лиц, органов, указанных в пункте 5 настоящего Порядка;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инициалы и должности должностных лиц, уполномоченных на проведение контрольного мероприятия;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проверяемый период;</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проведения проверки (ревизии, обследования) (дата начала и окончания проверки (ревизии, обследования);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объекте контроля при реализации полномочий управления финансов, предусмотренных подпунктами "а" и "б" пункта 2 настоящего Порядка: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полное и краткое наименование, идентификационный номер налогоплательщика (ИНН), основной государственный регистрационный номер (ОГРН);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ведомственная принадлежность и наименование органа, осуществляющего функции и полномочия учредителя, с указанием адреса и телефона такого органа (при наличии);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учредителях (участниках) (при наличии);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лицензии на осуществление видов деятельности, наличие которой обязательно;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 и реквизиты всех счетов в кредитных организациях, включая депозитные, а также лицевых счетов, открытых в управлении финансов (включая счета в кредитных организациях и лицевые счета, закрытые на момент проверки (ревизии, обследования), но действовавшие в проверяемом периоде);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фамилии, инициалы и должности лиц, имевших право подписи денежных и расчетных документов в проверяемом периоде;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кем и когда проводилась предыдущая ревизия (проверка), а также сведения об устранении нарушений, выявленных в ходе ее;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объекте контроля при реализации полномочий управления финансов области, предусмотренных подпунктом "в" пункта 2 настоящего Порядка: полное и краткое наименование, адрес местонахождения, идентификационный номер налогоплательщика (ИНН), основной государственный регистрационный номер (ОГРН).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Описательная часть акта (заключения) должна содержать описание проведенной работы и выявленных нарушений по каждому вопросу программы контрольного мероприятия (при ее наличии).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w:t>
      </w:r>
      <w:r>
        <w:rPr>
          <w:rFonts w:ascii="Times New Roman" w:hAnsi="Times New Roman" w:cs="Times New Roman" w:eastAsia="Times New Roman"/>
          <w:color w:val="auto"/>
          <w:spacing w:val="0"/>
          <w:position w:val="0"/>
          <w:sz w:val="24"/>
          <w:shd w:fill="auto" w:val="clear"/>
        </w:rPr>
        <w:t xml:space="preserve">Заключительная часть акта (заключения) должна содержать обобщенную информацию о результатах контрольного мероприятия, в том числе о выявленных нарушениях, сгруппированных по видам, с указанием по каждому виду нарушений в финансово-бюджетной сфере, сфере закупок общей суммы, на которую они выявлены.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Акт (заключение) оформляется не менее чем в двух экземплярах, подписывается руководителем и составом рабочей группы Управления финансов, проводившей контрольное мероприятие, и вручается под роспись руководителю (в случае его отсутствия - представителю) объекта контроля в срок не позднее трех рабочих дней со дня его подписания сопроводительным письмом за подписью руководителя рабочей группы или заказным почтовым отправлением с уведомлением о вручении, которое приобщается к контрольному делу.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В течение пяти рабочих дней с даты получения акта (заключения) руководитель, в случае его отсутствия - иное уполномоченное лицо объекта контроля, подписывает оба экземпляра акта (заключения) и направляет в Управление финансов один из подписанных экземпляров. В случае несогласия с фактами, изложенными в акте (заключении), руководитель, в случае его отсутствия - иное уполномоченное лицо объекта контроля, подписывает акт (заключение) с указанием на наличие пояснений и замечаний.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Письменные пояснения и замечания по указанному акту (заключению) в целом или по его отдельным положениям объект контроля направляет в Управление финансов  одновременно с подписанным актом (заключением) в срок, установленный пунктом 41 настоящего Порядка. Объект контроля вправе приложить к письменным пояснениям и замечаниям документы или их заверенные копии, подтверждающие обоснованность своих возражений.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Письменные пояснения и замечания, документы, подтверждающие их обоснованность, представленные в установленный пунктом 42 настоящего Порядка срок, прилагаются к акту (заключению) и в дальнейшем являются его неотъемлемой частью.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В случае непредставления документов и материалов, необходимых для проведения контрольных мероприятий, а также в случаях иного воспрепятствования в проведении контрольных мероприятий руководителем рабочей группы составляется соответствующий акт в двух экземплярах, в течение одного рабочего дня подписывается должностными лицами, уполномоченными на проведение контрольного мероприятия. В течение рабочего дня, следующего за днем составления акта, один экземпляр акта вручается или направляется объекту контроля по почте заказным письмом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Непредставление или несвоевременное представление объектами контроля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влекут за собой ответственность, установленную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По итогам проведения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Управлением финансов  в течение тридцати рабочих дней с окончания контрольного мероприятия готовятся и направляются объектам контроля представление и (или) предписание.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представлением в целях настоящего Порядка понимается документ,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предписанием в целях настоящего Порядка понимается документ,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требования о возмещении причиненного такими нарушениями ущерба Кичменгско-Городецкому муниципальному району.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Неисполнение предписаний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ущерба Кичменгско-Городецкому муниципальному району является основанием для обращения Управления финансов  в суд с исковыми заявлениями о возмещении ущерба, причиненного Кичменгско-Городецкому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полномочий Управления финансов, предусмотренных подпунктом "в" пункта 2 настоящего Порядка, Управление финансов в течение тридцати рабочих дней со дня окончания контрольного мероприятия готовит и направляет объектам контроля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 или, если срок не указан, в течение 30 дней со дня его получения.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Предписание об устранении нарушения законодательства Российской Федерации или иных нормативных правовых актов о контрактной системе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полномочий Управления финансов, предусмотренных подпунктом "в" пункта 2 настоящего Порядка, в части контроля в отношении соблюдения требований к обоснованию закупок, предусмотренных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статьей 18</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Закона о контрактной системе, и обоснованности закупок, соблюдения правил нормирования в сфере закупок, предусмотренного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статьей 19</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Закона о контрактной системе,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предписания выдаются до начала закупки.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поступления информации о неисполнении выданного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Управление финансов вправе применить к не исполнившему такое предписание лицу меры ответственности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 </w:t>
      </w:r>
      <w:r>
        <w:rPr>
          <w:rFonts w:ascii="Times New Roman" w:hAnsi="Times New Roman" w:cs="Times New Roman" w:eastAsia="Times New Roman"/>
          <w:color w:val="auto"/>
          <w:spacing w:val="0"/>
          <w:position w:val="0"/>
          <w:sz w:val="24"/>
          <w:shd w:fill="auto" w:val="clear"/>
        </w:rPr>
        <w:t xml:space="preserve">В случае выявления фактов административных правонарушений Управлением финансов возбуждается производство по делам об административных правонарушениях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выявления обстоятельств и фактов, свидетельствующих о признаках нарушений, относящихся к компетенции другого органа (должностного лица), такие материалы направляются для рассмотрения в порядке, установленном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 </w:t>
      </w:r>
      <w:r>
        <w:rPr>
          <w:rFonts w:ascii="Times New Roman" w:hAnsi="Times New Roman" w:cs="Times New Roman" w:eastAsia="Times New Roman"/>
          <w:color w:val="auto"/>
          <w:spacing w:val="0"/>
          <w:position w:val="0"/>
          <w:sz w:val="24"/>
          <w:shd w:fill="auto" w:val="clear"/>
        </w:rPr>
        <w:t xml:space="preserve">При установлении по результатам проведения контрольного мероприятия бюджетных нарушений руководитель структурного подразделения Управления финансов, уполномоченный на проведение внутреннего муниципального финансового контроля, направляет уведомление о применении бюджетных мер принуждения.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Уведомление о применении бюджетных мер принуждения направляется органам и должностным лицам, уполномоченным в соответствии с Бюджетным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 бюджетных мер принуждения в определенный Бюджетным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 срок и должно содержать описание совершенного бюджетного нарушения.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 </w:t>
      </w:r>
      <w:r>
        <w:rPr>
          <w:rFonts w:ascii="Times New Roman" w:hAnsi="Times New Roman" w:cs="Times New Roman" w:eastAsia="Times New Roman"/>
          <w:color w:val="auto"/>
          <w:spacing w:val="0"/>
          <w:position w:val="0"/>
          <w:sz w:val="24"/>
          <w:shd w:fill="auto" w:val="clear"/>
        </w:rPr>
        <w:t xml:space="preserve">При выявлении в результате проведения Управлением финансов контрольных мероприятий в рамках реализации полномочий Управления финансов, предусмотренных подпунктом "в" пункта 2 настоящего Порядка, факта совершения действия (бездействия), содержащего признаки состава преступления, Управление финансов передает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Информация о проведении контрольных мероприятий в рамках реализации полномочий Управления финансов, предусмотренных подпунктом "в" пункта 2 настоящего Порядка,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утверждается Правительством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w:t>
      </w:r>
      <w:r>
        <w:rPr>
          <w:rFonts w:ascii="Times New Roman" w:hAnsi="Times New Roman" w:cs="Times New Roman" w:eastAsia="Times New Roman"/>
          <w:color w:val="auto"/>
          <w:spacing w:val="0"/>
          <w:position w:val="0"/>
          <w:sz w:val="24"/>
          <w:shd w:fill="auto" w:val="clear"/>
        </w:rPr>
        <w:t xml:space="preserve">Требования к составлению и представлению</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отчетности о результатах контрольной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Отчетность Управления финансов о результатах контрольной деятельности (далее - отчетность) составляется в целях определения полноты, своевременности и эффективности выполнения плана контрольной деятельности на отчетный календарный год, а также проведения анализа информации о выявленных нарушениях в финансово-бюджетной сфере и сфере закупок в форме годового отчета.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В годовом отчете отражается информация: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количестве контрольных мероприятий, в том числе плановых и внеплановых, камеральных, выездных;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количестве объектов, охваченных контрольными мероприятиями;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проверенных суммах финансового обеспечения деятельности объекта контроля;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суммах выявленных финансовых нарушений (по видам финансовых нарушений), нарушений в сфере закупок;</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суммах финансовых нарушений, нарушений в сфере закупок, подлежащих устранению и возмещению;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суммах устраненных и возмещенных финансовых нарушений, нарушений в сфере закупок;</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количестве возбужденных дел об административных правонарушениях;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суммах наложенных административных штрафов;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суммах уплаченных (взысканных) штрафов по делам об административных правонарушениях;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количестве представлений (предписаний), выданных по результатам контрольных мероприятий;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количестве направленных и исполненных (неисполненных) уведомлений о применении бюджетных мер принуждения.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Годовой отчет направляется Главе района не позднее 1 апреля текущего года, а также размещается на официальном сайте администрации Кичменгско-Городецкого муниципального района в информационно-телекоммуникационной сети "Интернет".</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Мероприятия по обеспечению качества контрольной деятельности осуществляются в порядке, установленном Управлением финансов.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Мероприятия по обеспечению внутреннего муниципального финансового контроля осуществляются внутренними стандартами, приказами, порядками, установленными Управлением финансов.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5956902593346854D93FC003CB0F40B0F98FD00E4F90A7E9E316BBFA3DC35927F216DAD250D18C5FC9PAI" Id="docRId3" Type="http://schemas.openxmlformats.org/officeDocument/2006/relationships/hyperlink"/><Relationship TargetMode="External" Target="consultantplus://offline/ref=1EDA19E56C5AAA658FED11BCCF911EF77569148E9CA3A3B7E51BB0979783F2BA985BDA43DFEFu4E0M" Id="docRId7" Type="http://schemas.openxmlformats.org/officeDocument/2006/relationships/hyperlink"/><Relationship TargetMode="External" Target="consultantplus://offline/ref=5956902593346854D93FC003CB0F40B0F98FD0014890A7E9E316BBFA3DC35927F216DAD057D2C8P4I" Id="docRId0" Type="http://schemas.openxmlformats.org/officeDocument/2006/relationships/hyperlink"/><Relationship Target="styles.xml" Id="docRId10" Type="http://schemas.openxmlformats.org/officeDocument/2006/relationships/styles"/><Relationship TargetMode="External" Target="consultantplus://offline/ref=5956902593346854D93FC003CB0F40B0F98FD1074B9CA7E9E316BBFA3DCCP3I" Id="docRId2" Type="http://schemas.openxmlformats.org/officeDocument/2006/relationships/hyperlink"/><Relationship TargetMode="External" Target="consultantplus://offline/ref=5956902593346854D93FC003CB0F40B0F98FD1074B9CA7E9E316BBFA3DC35927F216DAD250D1845DC9PDI" Id="docRId4" Type="http://schemas.openxmlformats.org/officeDocument/2006/relationships/hyperlink"/><Relationship TargetMode="External" Target="consultantplus://offline/ref=1EDA19E56C5AAA658FED11BCCF911EF77569148E9CA3A3B7E51BB09797u8E3M" Id="docRId6" Type="http://schemas.openxmlformats.org/officeDocument/2006/relationships/hyperlink"/><Relationship TargetMode="External" Target="consultantplus://offline/ref=1EDA19E56C5AAA658FED11BCCF911EF77569148E9CA3A3B7E51BB0979783F2BA985BDA43DFEEu4EEM" Id="docRId8" Type="http://schemas.openxmlformats.org/officeDocument/2006/relationships/hyperlink"/><Relationship TargetMode="External" Target="consultantplus://offline/ref=5956902593346854D93FC003CB0F40B0F98FD1074B9CA7E9E316BBFA3DC35927F216DAD250D08252C9P6I" Id="docRId1" Type="http://schemas.openxmlformats.org/officeDocument/2006/relationships/hyperlink"/><Relationship TargetMode="External" Target="consultantplus://offline/ref=5956902593346854D93FC003CB0F40B0F98FD1074B9CA7E9E316BBFA3DC35927F216DAD250D1845CC9PDI" Id="docRId5" Type="http://schemas.openxmlformats.org/officeDocument/2006/relationships/hyperlink"/><Relationship Target="numbering.xml" Id="docRId9" Type="http://schemas.openxmlformats.org/officeDocument/2006/relationships/numbering"/></Relationships>
</file>