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C6" w:rsidRPr="00245CC6" w:rsidRDefault="00245CC6" w:rsidP="00245CC6">
      <w:pPr>
        <w:shd w:val="clear" w:color="auto" w:fill="FFFFFF"/>
        <w:spacing w:after="120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45CC6">
        <w:rPr>
          <w:rFonts w:ascii="myriad pro" w:eastAsia="Times New Roman" w:hAnsi="myriad pro" w:cs="Times New Roman"/>
          <w:b/>
          <w:bCs/>
          <w:color w:val="000000"/>
          <w:kern w:val="36"/>
          <w:sz w:val="26"/>
          <w:szCs w:val="26"/>
          <w:lang w:eastAsia="ru-RU"/>
        </w:rPr>
        <w:t>Природные ресурсы края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Кичменгско-Городецкий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 расположен в восточной части Вологодской области и является самым удаленным районом от областного центра - 500 км. Общая площадь района составляет 7,1 тыс. кв. метров (4,9 в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общеобластном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показателе или 8 место в Вологодской области).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center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896238"/>
          <w:sz w:val="17"/>
          <w:szCs w:val="17"/>
          <w:lang w:eastAsia="ru-RU"/>
        </w:rPr>
        <w:drawing>
          <wp:inline distT="0" distB="0" distL="0" distR="0">
            <wp:extent cx="6195060" cy="4648200"/>
            <wp:effectExtent l="19050" t="0" r="0" b="0"/>
            <wp:docPr id="4" name="Рисунок 4" descr="https://cmb-kichgorod.vlg.muzkult.ru/media/2018/08/01/1224784927/image_image_154528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mb-kichgorod.vlg.muzkult.ru/media/2018/08/01/1224784927/image_image_154528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пределах района располагается северная часть возвышенности Северные Увалы. Максимальные отметки высот достигают 279 метров. Для территории района характерно чередование плоских, волнистых и холмистых равнин. Здесь широко распространен холмисто-увалистый рельеф в сочетании с плоскими и волнистыми поверхностями. Гидрографическая сеть развита сильно, особенно в пределах Северных Увалов. Все реки относятся к бассейну Белого моря. Река Юг - основная водная артерия района. Озер мало, по происхождению они карстовые и статичные, небольших размеров. Болота, занимающие около 15% территории района, преимущественно верхового и низинного типов. Климат района умеренно-континентальный, с </w:t>
      </w:r>
      <w:proofErr w:type="gram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длительной снежной зимой</w:t>
      </w:r>
      <w:proofErr w:type="gram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center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896238"/>
          <w:sz w:val="17"/>
          <w:szCs w:val="17"/>
          <w:lang w:eastAsia="ru-RU"/>
        </w:rPr>
        <w:lastRenderedPageBreak/>
        <w:drawing>
          <wp:inline distT="0" distB="0" distL="0" distR="0">
            <wp:extent cx="4884420" cy="3512820"/>
            <wp:effectExtent l="19050" t="0" r="0" b="0"/>
            <wp:docPr id="5" name="Рисунок 5" descr="https://cmb-kichgorod.vlg.muzkult.ru/media/2018/08/01/1224784924/image_image_154528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mb-kichgorod.vlg.muzkult.ru/media/2018/08/01/1224784924/image_image_154528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Кичменгско-Городецкий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 - лесной край, леса занимают 80% территории района и расположены на площади 584,2 тыс. га. Но не только древесиной славятся леса района. Клюква, брусника, черника, грибы - все это лесные богатства, которые ценные не только сами по себе, но их сбор может доставить много радости от общения с природой. Богата и разнообразна фауна лесов нашего района. </w:t>
      </w:r>
      <w:proofErr w:type="gram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Обилие охотничье-промысловых животных (лось, медведь, кабан, волк, лисица, заяц, выдра, глухарь, тетерев, рябчик) открывает большие возможности для организации охотничьих туров.</w:t>
      </w:r>
      <w:proofErr w:type="gramEnd"/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center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896238"/>
          <w:sz w:val="17"/>
          <w:szCs w:val="17"/>
          <w:lang w:eastAsia="ru-RU"/>
        </w:rPr>
        <w:drawing>
          <wp:inline distT="0" distB="0" distL="0" distR="0">
            <wp:extent cx="4663440" cy="3474720"/>
            <wp:effectExtent l="19050" t="0" r="3810" b="0"/>
            <wp:docPr id="6" name="Рисунок 6" descr="https://cmb-kichgorod.vlg.muzkult.ru/media/2018/08/01/1224784925/image_image_154528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mb-kichgorod.vlg.muzkult.ru/media/2018/08/01/1224784925/image_image_154528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На территории </w:t>
      </w:r>
      <w:r w:rsidR="005166E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округа </w:t>
      </w:r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расположено 5 особо охраняемых природных территорий областного значения: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</w:t>
      </w:r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Заказник «</w:t>
      </w:r>
      <w:proofErr w:type="spellStart"/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Оленевский</w:t>
      </w:r>
      <w:proofErr w:type="spellEnd"/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бор»</w:t>
      </w: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уникальный, невосполнимый, ценный в экологическом, научном, культурном и эстетическом отношении природный  комплекс, объект естественного происхождения. Находится в 30 км к северо-востоку от районного центра Кичменгский Городок, на левом берегу р. Юг, южная граница расположена в 1-2 км от сельских населенных пунктов  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Оленево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  Слободка, Ширяево, Нижний 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Енангск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Площадь: 2538 га.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</w:t>
      </w:r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Памятник природы «</w:t>
      </w:r>
      <w:proofErr w:type="spellStart"/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Стрелкинский</w:t>
      </w:r>
      <w:proofErr w:type="spellEnd"/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лес»</w:t>
      </w: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уникальный, невосполнимый, ценный в экологическом,  научном, культурном и эстетическом отношении природный комплекс, объект естественного происхождения. Находится на территории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Кичменгско-Городецкого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района, в 50-55 км к северо-западу от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Кичменгского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Городка в верховьях р.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Кичменьги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ниже впадения в нее р.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Сельденьги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Площадь: 1563 га.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</w:t>
      </w:r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Памятник природы «</w:t>
      </w:r>
      <w:proofErr w:type="spellStart"/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Ёнтальский</w:t>
      </w:r>
      <w:proofErr w:type="spellEnd"/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лес»</w:t>
      </w: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уникальный, невосполнимый, ценный в экологическом, научном, культурном и эстетическом отношении природный комплекс, объект естественного происхождения. Расположен в </w:t>
      </w:r>
      <w:proofErr w:type="spellStart"/>
      <w:proofErr w:type="gram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юго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восточной</w:t>
      </w:r>
      <w:proofErr w:type="gram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части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Кичменгско-Городецкого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района, в 65 км к востоку от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Кичменгского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Городка, в 22 км к югу от сельского населенного пункта Верхняя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Ентала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в верховьях рек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Ентала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Молевница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Площадь: 1021 га.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</w:t>
      </w:r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Памятник природы «</w:t>
      </w:r>
      <w:proofErr w:type="spellStart"/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Захаровский</w:t>
      </w:r>
      <w:proofErr w:type="spellEnd"/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бор»</w:t>
      </w: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уникальный, невосполнимый, ценный в экологическом,  научном, культурном и эстетическом отношении природный комплекс, объект  естественного происхождения. Находится на территории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Кичменгско-Городецкого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района, на левом берегу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Кичменьги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расположен западнее сельского населенного пункта Захарово, в 14 км к </w:t>
      </w:r>
      <w:proofErr w:type="spellStart"/>
      <w:proofErr w:type="gram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северо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западу</w:t>
      </w:r>
      <w:proofErr w:type="gram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 районного центра с. Кичменгский Городок. Площадь 70 га.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proofErr w:type="gram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</w:t>
      </w:r>
      <w:r w:rsidRPr="00245CC6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Памятник природы «Государственный зоологический (охотничий) комплексный заказник»</w:t>
      </w:r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уникальный, невосполнимый, ценный в экологическом,  научном, культурном и эстетическом отношении природный комплекс, объект естественного происхождения.</w:t>
      </w:r>
      <w:proofErr w:type="gram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Расположен на территории </w:t>
      </w:r>
      <w:proofErr w:type="spellStart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Кичменгско-Городецкого</w:t>
      </w:r>
      <w:proofErr w:type="spellEnd"/>
      <w:r w:rsidRPr="00245C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района, в 28 км к северо-востоку от районного центра с. Кичменгский Городок, на границе с Великоустюгским районом, вблизи границы с Кировской областью в верховьях реки Стрельна. Площадь 28 200 га.</w:t>
      </w:r>
    </w:p>
    <w:p w:rsidR="00245CC6" w:rsidRPr="00245CC6" w:rsidRDefault="00245CC6" w:rsidP="00245CC6">
      <w:pPr>
        <w:shd w:val="clear" w:color="auto" w:fill="FFFFFF"/>
        <w:spacing w:before="96" w:after="96" w:line="250" w:lineRule="atLeast"/>
        <w:jc w:val="both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b/>
          <w:bCs/>
          <w:color w:val="000000"/>
          <w:sz w:val="18"/>
          <w:szCs w:val="18"/>
          <w:lang w:eastAsia="ru-RU"/>
        </w:rPr>
        <w:t xml:space="preserve">Главные реки </w:t>
      </w:r>
      <w:proofErr w:type="spellStart"/>
      <w:r w:rsidRPr="00245CC6">
        <w:rPr>
          <w:rFonts w:ascii="myriad pro" w:eastAsia="Times New Roman" w:hAnsi="myriad pro" w:cs="Times New Roman"/>
          <w:b/>
          <w:bCs/>
          <w:color w:val="000000"/>
          <w:sz w:val="18"/>
          <w:szCs w:val="18"/>
          <w:lang w:eastAsia="ru-RU"/>
        </w:rPr>
        <w:t>Кичменгско-Городецкого</w:t>
      </w:r>
      <w:proofErr w:type="spellEnd"/>
      <w:r w:rsidR="005166EC">
        <w:rPr>
          <w:rFonts w:ascii="myriad pro" w:eastAsia="Times New Roman" w:hAnsi="myriad pro" w:cs="Times New Roman"/>
          <w:b/>
          <w:bCs/>
          <w:color w:val="000000"/>
          <w:sz w:val="18"/>
          <w:szCs w:val="18"/>
          <w:lang w:eastAsia="ru-RU"/>
        </w:rPr>
        <w:t xml:space="preserve"> округа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proofErr w:type="gramStart"/>
      <w:r w:rsidRPr="00245CC6">
        <w:rPr>
          <w:rFonts w:ascii="myriad pro" w:eastAsia="Times New Roman" w:hAnsi="myriad pro" w:cs="Times New Roman"/>
          <w:b/>
          <w:bCs/>
          <w:color w:val="000000"/>
          <w:sz w:val="18"/>
          <w:szCs w:val="18"/>
          <w:lang w:eastAsia="ru-RU"/>
        </w:rPr>
        <w:t>Юг</w:t>
      </w: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– река в Европейской части России, в Вологодской и Кировской областях; правая составляющая р. Северной Двины (при слиянии с р. Сухоной).</w:t>
      </w:r>
      <w:proofErr w:type="gramEnd"/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>
        <w:rPr>
          <w:rFonts w:ascii="myriad pro" w:eastAsia="Times New Roman" w:hAnsi="myriad pro" w:cs="Times New Roman"/>
          <w:noProof/>
          <w:color w:val="896238"/>
          <w:sz w:val="18"/>
          <w:szCs w:val="18"/>
          <w:lang w:eastAsia="ru-RU"/>
        </w:rPr>
        <w:drawing>
          <wp:inline distT="0" distB="0" distL="0" distR="0">
            <wp:extent cx="6526530" cy="3675742"/>
            <wp:effectExtent l="19050" t="0" r="7620" b="0"/>
            <wp:docPr id="7" name="Рисунок 7" descr="https://cmb-kichgorod.vlg.muzkult.ru/media/2018/08/01/1224784898/image_image_251020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mb-kichgorod.vlg.muzkult.ru/media/2018/08/01/1224784898/image_image_251020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059" cy="367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С IX в. началось заселение земель выходцами из Новгорода. До этого времени на берегах р. Юг жили представители бесписьменной народности – чудь. По реке Юг проходил торговый путь от Северной Двины к р. Ветлуге. Реки Юг и Унжа были связаны волоком. К XV в. относится первое упоминание о поселении Никольск на берегу р. Юг, возникшем именно как пристань. К тому же времени относится и первое упоминание о другом поселении – </w:t>
      </w:r>
      <w:r w:rsidRPr="00245CC6">
        <w:rPr>
          <w:rFonts w:ascii="myriad pro" w:eastAsia="Times New Roman" w:hAnsi="myriad pro" w:cs="Times New Roman"/>
          <w:b/>
          <w:bCs/>
          <w:color w:val="000000"/>
          <w:sz w:val="18"/>
          <w:szCs w:val="18"/>
          <w:lang w:eastAsia="ru-RU"/>
        </w:rPr>
        <w:t>Кичменгский Городок</w:t>
      </w: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, выполнявшего роль крепости, защищавшей от нападения татар, а спустя почти 150 лет и от поляков. Население бассейна р. Юг вплоть до XIX 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в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. занималось сельским хозяйством и традиционными промыслами. В XX 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в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. река использовалась для лесосплава. Для этих целей в районе с. 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Демьяново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реку перекрывали поперечной запанью (плавучим заграждением). Регулярный молевой сплав древесины стал причиной разрушения берегов на крутых поворотах русла.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Река Юг берёт начало на северо-западных склонах Северных Увалов. Бассейн реки находится в пределах всхолмленной равнинной территории в зоне южно-таёжных еловых лесов, которые занимают 80% территории. Длина реки 574 км, площадь бассейна 35,6 тыс. км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2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– 5-й по площади бассейна и 4-й по длине приток Северной Двины. Главные притоки р. Юг: Пичуг,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Ентала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Пушма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, Луза (правые),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Шарженьга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Кичменьга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(левые).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jc w:val="center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b/>
          <w:bCs/>
          <w:color w:val="000000"/>
          <w:sz w:val="18"/>
          <w:szCs w:val="18"/>
          <w:lang w:eastAsia="ru-RU"/>
        </w:rPr>
        <w:t>Основные притоки Юга (средние реки)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6"/>
        <w:gridCol w:w="727"/>
        <w:gridCol w:w="2660"/>
        <w:gridCol w:w="1291"/>
        <w:gridCol w:w="803"/>
      </w:tblGrid>
      <w:tr w:rsidR="00245CC6" w:rsidRPr="00245CC6" w:rsidTr="00245C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Приток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бассейна (км</w:t>
            </w:r>
            <w:proofErr w:type="gramStart"/>
            <w:r w:rsidRPr="002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2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устья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Берег</w:t>
            </w:r>
          </w:p>
        </w:tc>
      </w:tr>
      <w:tr w:rsidR="00245CC6" w:rsidRPr="00245CC6" w:rsidTr="00245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45CC6">
                <w:rPr>
                  <w:rFonts w:ascii="Times New Roman" w:eastAsia="Times New Roman" w:hAnsi="Times New Roman" w:cs="Times New Roman"/>
                  <w:color w:val="896238"/>
                  <w:sz w:val="24"/>
                  <w:szCs w:val="24"/>
                  <w:u w:val="single"/>
                  <w:lang w:eastAsia="ru-RU"/>
                </w:rPr>
                <w:t>Луза</w:t>
              </w:r>
            </w:hyperlink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</w:t>
            </w:r>
          </w:p>
        </w:tc>
      </w:tr>
      <w:tr w:rsidR="00245CC6" w:rsidRPr="00245CC6" w:rsidTr="00245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245CC6">
                <w:rPr>
                  <w:rFonts w:ascii="Times New Roman" w:eastAsia="Times New Roman" w:hAnsi="Times New Roman" w:cs="Times New Roman"/>
                  <w:color w:val="896238"/>
                  <w:sz w:val="24"/>
                  <w:szCs w:val="24"/>
                  <w:u w:val="single"/>
                  <w:lang w:eastAsia="ru-RU"/>
                </w:rPr>
                <w:t>Пушма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</w:t>
            </w:r>
          </w:p>
        </w:tc>
      </w:tr>
      <w:tr w:rsidR="00245CC6" w:rsidRPr="00245CC6" w:rsidTr="00245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45CC6">
                <w:rPr>
                  <w:rFonts w:ascii="Times New Roman" w:eastAsia="Times New Roman" w:hAnsi="Times New Roman" w:cs="Times New Roman"/>
                  <w:color w:val="896238"/>
                  <w:sz w:val="24"/>
                  <w:szCs w:val="24"/>
                  <w:u w:val="single"/>
                  <w:lang w:eastAsia="ru-RU"/>
                </w:rPr>
                <w:t>Кичменьга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45CC6" w:rsidRPr="00245CC6" w:rsidRDefault="00245CC6" w:rsidP="00245CC6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левый</w:t>
            </w:r>
          </w:p>
        </w:tc>
      </w:tr>
    </w:tbl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В верхнем течении река свободно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меандрирует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, образуя песчаные перекатные участки. Ширина извилистого русла 20–50 м, встречаются каменистые пороги. В среднем течении долина р. Юг сужается, русло шириной 70–100 м повторяет крупные петлеобразные изгибы речной долины, пойма на этом участке узкая. Ниже слияния Юга и Лузы образуется отвесный обрыв высотой 30 м, являющийся памятником природы регионального значения. В нижнем течении долина расширяется, ширина русла 150–200 м. Главный приток, р. Луза, впадает в 35 км выше место слияния Юга с Сухоной и вдвое увеличивает водоносность реки. На устьевом участке в русле формируются многочисленные песчаные косы и перекаты, берега интенсивно размываются.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Водный режим р. Юг характеризуется высоким весенним половодьем и низкой зимней меженью. Более половины речного стока (60%) формируется талыми водами, четверть – дождями. Весеннее половодье на реке начинается во второй половине апреля, в начале мая отмечаются максимальные расходы воды. В первых числах июня наступает летне-осенняя межень, прерываемая непродолжительными (до 10 дней) дождевыми паводками. Среднемноголетний расход воды реки 290 м3/с (объём стока 9,153 км3/год), максимальный расход достигает 5000 м3/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с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В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нижнем течении реки размах колебаний уровня воды в течение года 4–6 м.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Лёд на реке появляется в первых числах ноября. Во второй половине месяца на реке устанавливается ледостав. За период ледостава толщина льда достигает 80–100 см. В 20-х числах апреля начинается весенний ледоход, и через пару дней река очищается ото льда. В нижнем течении реки в 12 км от устья образуются заторы льда, вызывающие резкий подъём уровня воды.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В XX в. судоходство по реке осуществлялось на отдельных участках в короткий полноводный период. В настоящее время р. Юг считается водным путем без гарантированных габаритов судового хода.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В верхнем течении реки находится 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г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. Никольск, в среднем – с. Кичменгский Городок, в месте слияния Юга с Сухоной – г. Великий Устюг.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В реке обитает рыба ценных промысловых видов – хариус и стерлядь.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proofErr w:type="spellStart"/>
      <w:r w:rsidRPr="00245CC6">
        <w:rPr>
          <w:rFonts w:ascii="myriad pro" w:eastAsia="Times New Roman" w:hAnsi="myriad pro" w:cs="Times New Roman"/>
          <w:b/>
          <w:bCs/>
          <w:color w:val="000000"/>
          <w:sz w:val="18"/>
          <w:szCs w:val="18"/>
          <w:lang w:eastAsia="ru-RU"/>
        </w:rPr>
        <w:t>Ки́чменьга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– река на севере Европейской части России, в Вологодской области; левый приток реки Юг (бассейн Северной Двины).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>
        <w:rPr>
          <w:rFonts w:ascii="myriad pro" w:eastAsia="Times New Roman" w:hAnsi="myriad pro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8" name="Рисунок 8" descr="https://cmb-kichgorod.vlg.muzkult.ru/media/2018/08/01/1224784899/image_image_3192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mb-kichgorod.vlg.muzkult.ru/media/2018/08/01/1224784899/image_image_319269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Название реки происходит от слов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удорского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диалекта коми языка «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кыч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» («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») – кольцо и «га» – река.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Берёт начало в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Кичменьгских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болотах. Течёт по северной окраине Северных Увалов. Впадает в Юг на 245 км от его устья. Длина реки 208 км, площадь бассейна 2330 км2 – 3-й по площади бассейна (после Лузы и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Пушмы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) и 2-й по длине (после Лузы) приток реки Ю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г[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*]. Все притоки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Кичменьги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относятся к малым рекам и ручьям, крупнейшие из них: правый –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Светица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(62 км); левый –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Шарженьга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(53 км).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Русло реки извилистое, неразветвлённое. Течение реки быстрое, дно сложено галькой и мелкими валунами, встречаются каменистые перекаты. Пойма узкая, ширина 0,3–0,4 км.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Климат бассейна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Кичменьги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умеренно-континентальный. Средняя годовая температура воздуха 1,2°С. Самые холодные месяцы года – январь и февраль, наиболее жаркий – июль. Среднегодовая сумма осадков составляет 490-600 мм.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Среднемноголетний расход воды в 20 км от устья 18,8 м3/сек, что соответствует объёму стока 0,593 км3/год. Питание реки смешанное, с преобладанием 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снегового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Кичменьга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относится </w:t>
      </w:r>
      <w:proofErr w:type="gram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 рекам с восточноевропейским типом водного режима с весенним половодьем с середины апреля до начала</w:t>
      </w:r>
      <w:proofErr w:type="gram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июня и продолжительной летней меженью. В период половодья объём стока составляет до 220 м3/с. Устойчивый ледостав наступает около середины ноября, вскрытие происходит в середине-конце апреля.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Качество воды в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Кичменьге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оценивается как «чистая».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Верхнее и среднее течение проходит в необитаемой местности среди холмов Северных Увалов. Нижнее течение является населённой зоной, в устье находится Кичменгский Городок, административный центр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Кичменгско-Городецкого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муниципального района Вологодской области.</w:t>
      </w:r>
    </w:p>
    <w:p w:rsidR="00245CC6" w:rsidRPr="00245CC6" w:rsidRDefault="00245CC6" w:rsidP="00245CC6">
      <w:pPr>
        <w:shd w:val="clear" w:color="auto" w:fill="FFFFFF"/>
        <w:spacing w:before="96" w:after="96" w:line="240" w:lineRule="auto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 </w:t>
      </w: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8B8B8B"/>
          <w:sz w:val="16"/>
          <w:lang w:eastAsia="ru-RU"/>
        </w:rPr>
        <w:lastRenderedPageBreak/>
        <w:t>25-04-2024</w:t>
      </w:r>
      <w:hyperlink r:id="rId16" w:history="1">
        <w:r w:rsidRPr="00245CC6">
          <w:rPr>
            <w:rFonts w:ascii="myriad pro" w:eastAsia="Times New Roman" w:hAnsi="myriad pro" w:cs="Times New Roman"/>
            <w:color w:val="B43C2B"/>
            <w:sz w:val="24"/>
            <w:szCs w:val="24"/>
            <w:u w:val="single"/>
            <w:lang w:eastAsia="ru-RU"/>
          </w:rPr>
          <w:t>Краеведческая игра "</w:t>
        </w:r>
        <w:proofErr w:type="spellStart"/>
        <w:r w:rsidRPr="00245CC6">
          <w:rPr>
            <w:rFonts w:ascii="myriad pro" w:eastAsia="Times New Roman" w:hAnsi="myriad pro" w:cs="Times New Roman"/>
            <w:color w:val="B43C2B"/>
            <w:sz w:val="24"/>
            <w:szCs w:val="24"/>
            <w:u w:val="single"/>
            <w:lang w:eastAsia="ru-RU"/>
          </w:rPr>
          <w:t>Кичменгская</w:t>
        </w:r>
        <w:proofErr w:type="spellEnd"/>
        <w:r w:rsidRPr="00245CC6">
          <w:rPr>
            <w:rFonts w:ascii="myriad pro" w:eastAsia="Times New Roman" w:hAnsi="myriad pro" w:cs="Times New Roman"/>
            <w:color w:val="B43C2B"/>
            <w:sz w:val="24"/>
            <w:szCs w:val="24"/>
            <w:u w:val="single"/>
            <w:lang w:eastAsia="ru-RU"/>
          </w:rPr>
          <w:t xml:space="preserve"> сторонка"</w:t>
        </w:r>
      </w:hyperlink>
      <w:r>
        <w:rPr>
          <w:rFonts w:ascii="myriad pro" w:eastAsia="Times New Roman" w:hAnsi="myriad pro" w:cs="Times New Roman"/>
          <w:noProof/>
          <w:color w:val="896238"/>
          <w:sz w:val="18"/>
          <w:szCs w:val="18"/>
          <w:lang w:eastAsia="ru-RU"/>
        </w:rPr>
        <w:drawing>
          <wp:inline distT="0" distB="0" distL="0" distR="0">
            <wp:extent cx="4354830" cy="2705100"/>
            <wp:effectExtent l="19050" t="0" r="7620" b="0"/>
            <wp:docPr id="10" name="Рисунок 1" descr="https://cmb-kichgorod.vlg.muzkult.ru/media/2024/04/26/1326325605/ujz3UF1Jx84.jpg.250x-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b-kichgorod.vlg.muzkult.ru/media/2024/04/26/1326325605/ujz3UF1Jx84.jpg.250x-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62" cy="270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В центральной библиотеке состоялась I муниципальная молодёжная краеведческая игра «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Кичменгская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сторонка». Двум значимым событиям, 100-летию образования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Кичменгско-Городецкого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района и юбилею писателя-земляка Михаила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Жаравина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, мы посвятили это мероприятие.</w:t>
      </w:r>
    </w:p>
    <w:p w:rsidR="00245CC6" w:rsidRP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</w:t>
      </w: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8B8B8B"/>
          <w:sz w:val="16"/>
          <w:lang w:eastAsia="ru-RU"/>
        </w:rPr>
        <w:t>23-04-2024</w:t>
      </w:r>
      <w:hyperlink r:id="rId18" w:history="1">
        <w:r w:rsidRPr="00245CC6">
          <w:rPr>
            <w:rFonts w:ascii="myriad pro" w:eastAsia="Times New Roman" w:hAnsi="myriad pro" w:cs="Times New Roman"/>
            <w:color w:val="B43C2B"/>
            <w:sz w:val="24"/>
            <w:szCs w:val="24"/>
            <w:u w:val="single"/>
            <w:lang w:eastAsia="ru-RU"/>
          </w:rPr>
          <w:t>Эколого-краеведческие чтения «Сохраним то, что любим»</w:t>
        </w:r>
      </w:hyperlink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</w:t>
      </w: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drawing>
          <wp:inline distT="0" distB="0" distL="0" distR="0">
            <wp:extent cx="4354830" cy="3435638"/>
            <wp:effectExtent l="19050" t="0" r="7620" b="0"/>
            <wp:docPr id="15" name="Рисунок 2" descr="https://cmb-kichgorod.vlg.muzkult.ru/media/2024/04/23/1325646514/do8cw6_0aIs.jpg.250x-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mb-kichgorod.vlg.muzkult.ru/media/2024/04/23/1325646514/do8cw6_0aIs.jpg.250x-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852" cy="343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</w:p>
    <w:p w:rsidR="00245CC6" w:rsidRP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23 апреля в центральной библиотеке состоялись VI ежегодные  межмуниципальные эколого-краеведческие чтения «Сохраним то, что любим» по теме «Родное. Памятное. Святое: летописи родных деревень». По сложившейся традиции эколого-краеведческие чтения проходят в апреле и приурочены к общероссийским Дням защиты от экологической опасности. </w:t>
      </w: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8B8B8B"/>
          <w:sz w:val="16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8B8B8B"/>
          <w:sz w:val="16"/>
          <w:lang w:eastAsia="ru-RU"/>
        </w:rPr>
        <w:lastRenderedPageBreak/>
        <w:t>19-04-2024</w:t>
      </w:r>
      <w:hyperlink r:id="rId20" w:history="1">
        <w:r w:rsidRPr="00245CC6">
          <w:rPr>
            <w:rFonts w:ascii="myriad pro" w:eastAsia="Times New Roman" w:hAnsi="myriad pro" w:cs="Times New Roman"/>
            <w:color w:val="B43C2B"/>
            <w:sz w:val="24"/>
            <w:szCs w:val="24"/>
            <w:u w:val="single"/>
            <w:lang w:eastAsia="ru-RU"/>
          </w:rPr>
          <w:t>Библионочь - 2024 «Читаем всей семьей»</w:t>
        </w:r>
      </w:hyperlink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drawing>
          <wp:inline distT="0" distB="0" distL="0" distR="0">
            <wp:extent cx="4438650" cy="2745703"/>
            <wp:effectExtent l="19050" t="0" r="0" b="0"/>
            <wp:docPr id="16" name="Рисунок 3" descr="https://cmb-kichgorod.vlg.muzkult.ru/media/2024/04/23/1325641908/zLJYQY1zM9k.jpg.250x-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mb-kichgorod.vlg.muzkult.ru/media/2024/04/23/1325641908/zLJYQY1zM9k.jpg.250x-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050" cy="274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</w:p>
    <w:p w:rsidR="00245CC6" w:rsidRPr="00245CC6" w:rsidRDefault="00245CC6" w:rsidP="00245CC6">
      <w:pPr>
        <w:shd w:val="clear" w:color="auto" w:fill="FFFFFF"/>
        <w:spacing w:after="0" w:line="240" w:lineRule="auto"/>
        <w:textAlignment w:val="top"/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</w:pPr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По традиции в конце апреля центральная библиотека присоединилась к ежегодной общероссийской акции в поддержку чтения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Библионочь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- 2024.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Библионочь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— это ежегодный фестиваль чтения, который проходит в библиотеках по всей России в единый день. Наша библиотека присоединилась к этому проекту в 2013 году, и 19 апреля мы встречали гостей </w:t>
      </w:r>
      <w:proofErr w:type="spellStart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>Библионочи</w:t>
      </w:r>
      <w:proofErr w:type="spellEnd"/>
      <w:r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в 11-й раз!</w:t>
      </w:r>
      <w:r w:rsidR="005166EC" w:rsidRPr="00245CC6">
        <w:rPr>
          <w:rFonts w:ascii="myriad pro" w:eastAsia="Times New Roman" w:hAnsi="myriad pro" w:cs="Times New Roman"/>
          <w:color w:val="000000"/>
          <w:sz w:val="18"/>
          <w:szCs w:val="18"/>
          <w:lang w:eastAsia="ru-RU"/>
        </w:rPr>
        <w:t xml:space="preserve"> </w:t>
      </w:r>
    </w:p>
    <w:sectPr w:rsidR="00245CC6" w:rsidRPr="00245CC6" w:rsidSect="00245CC6">
      <w:pgSz w:w="11906" w:h="16838"/>
      <w:pgMar w:top="1134" w:right="567" w:bottom="1134" w:left="1134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245CC6"/>
    <w:rsid w:val="00245CC6"/>
    <w:rsid w:val="003D5B00"/>
    <w:rsid w:val="005166EC"/>
    <w:rsid w:val="00536E9C"/>
    <w:rsid w:val="005B0083"/>
    <w:rsid w:val="006D3843"/>
    <w:rsid w:val="007B4313"/>
    <w:rsid w:val="00B07F7A"/>
    <w:rsid w:val="00CA7185"/>
    <w:rsid w:val="00E9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00"/>
  </w:style>
  <w:style w:type="paragraph" w:styleId="1">
    <w:name w:val="heading 1"/>
    <w:basedOn w:val="a"/>
    <w:link w:val="10"/>
    <w:uiPriority w:val="9"/>
    <w:qFormat/>
    <w:rsid w:val="00245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45CC6"/>
  </w:style>
  <w:style w:type="character" w:styleId="a3">
    <w:name w:val="Hyperlink"/>
    <w:basedOn w:val="a0"/>
    <w:uiPriority w:val="99"/>
    <w:semiHidden/>
    <w:unhideWhenUsed/>
    <w:rsid w:val="00245C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24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DDDDDD"/>
            <w:right w:val="none" w:sz="0" w:space="0" w:color="auto"/>
          </w:divBdr>
          <w:divsChild>
            <w:div w:id="12062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b-kichgorod.vlg.muzkult.ru/media/2018/08/01/1224784925/image_image_1545283.jpg" TargetMode="External"/><Relationship Id="rId13" Type="http://schemas.openxmlformats.org/officeDocument/2006/relationships/hyperlink" Target="http://water-rf.ru/%D0%92%D0%BE%D0%B4%D0%BD%D1%8B%D0%B5_%D0%BE%D0%B1%D1%8A%D0%B5%D0%BA%D1%82%D1%8B/3387/%D0%9F%D1%83%D1%88%D0%BC%D0%B0" TargetMode="External"/><Relationship Id="rId18" Type="http://schemas.openxmlformats.org/officeDocument/2006/relationships/hyperlink" Target="https://cmb-kichgorod.vlg.muzkult.ru/news/11047741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://water-rf.ru/%D0%92%D0%BE%D0%B4%D0%BD%D1%8B%D0%B5_%D0%BE%D0%B1%D1%8A%D0%B5%D0%BA%D1%82%D1%8B/1683/%D0%9B%D1%83%D0%B7%D0%B0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cmb-kichgorod.vlg.muzkult.ru/news/110633716" TargetMode="External"/><Relationship Id="rId20" Type="http://schemas.openxmlformats.org/officeDocument/2006/relationships/hyperlink" Target="https://cmb-kichgorod.vlg.muzkult.ru/news/110474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cmb-kichgorod.vlg.muzkult.ru/media/2018/08/01/1224784924/image_image_154528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cmb-kichgorod.vlg.muzkult.ru/media/2018/08/01/1224784898/image_image_2510204.jpg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cmb-kichgorod.vlg.muzkult.ru/media/2018/08/01/1224784927/image_image_154528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ater-rf.ru/%D0%92%D0%BE%D0%B4%D0%BD%D1%8B%D0%B5_%D0%BE%D0%B1%D1%8A%D0%B5%D0%BA%D1%82%D1%8B/2251/%D0%9A%D0%B8%D1%87%D0%BC%D0%B5%D0%BD%D1%8C%D0%B3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</dc:creator>
  <cp:keywords/>
  <dc:description/>
  <cp:lastModifiedBy>forest</cp:lastModifiedBy>
  <cp:revision>2</cp:revision>
  <dcterms:created xsi:type="dcterms:W3CDTF">2024-05-03T12:39:00Z</dcterms:created>
  <dcterms:modified xsi:type="dcterms:W3CDTF">2024-05-03T12:51:00Z</dcterms:modified>
</cp:coreProperties>
</file>