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35" w:rsidRPr="00525635" w:rsidRDefault="00FE1AFD" w:rsidP="00525635">
      <w:pPr>
        <w:jc w:val="center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Информация о</w:t>
      </w:r>
      <w:r w:rsidR="00525635" w:rsidRPr="00525635">
        <w:rPr>
          <w:color w:val="1A1A1A"/>
          <w:shd w:val="clear" w:color="auto" w:fill="FFFFFF"/>
        </w:rPr>
        <w:t xml:space="preserve"> ходе выполнения мероприятий</w:t>
      </w:r>
    </w:p>
    <w:p w:rsidR="00D83DC2" w:rsidRPr="00525635" w:rsidRDefault="00525635" w:rsidP="00525635">
      <w:pPr>
        <w:jc w:val="center"/>
      </w:pPr>
      <w:r w:rsidRPr="00525635">
        <w:rPr>
          <w:color w:val="1A1A1A"/>
          <w:shd w:val="clear" w:color="auto" w:fill="FFFFFF"/>
        </w:rPr>
        <w:t xml:space="preserve"> по подготовке оздоровительной кампании детей в 2024 году</w:t>
      </w:r>
    </w:p>
    <w:p w:rsidR="00525635" w:rsidRPr="00525635" w:rsidRDefault="00525635">
      <w:pPr>
        <w:jc w:val="center"/>
      </w:pPr>
    </w:p>
    <w:p w:rsidR="00525635" w:rsidRDefault="00525635" w:rsidP="00CD6A12">
      <w:pPr>
        <w:jc w:val="both"/>
      </w:pPr>
      <w:r>
        <w:t>На территории Кичменгско-Городецкого муниципального округа в летний период 2024 года открылись и функционируют 1 палаточный лагерь с круглосуточным пребыванием и 17 лагерей с дневным пребыванием (далее ЛДП), из них 5 ЛДП с дневным сном и трехразовым питанием. В ЛДП организованным отдыхом охвачены 440 детей, из них 357 (81,1%) детей из семей, находящихся в трудной жизненной ситуации, в том числе 40 детей с ограниченными возможностями здоровья; 5 детей, состоящих на различных видах учета в органах и учреждениях системы профилактики; 27 детей, находящихся под опекой; 30 детей из семей участников специальной военной операции. Для детей, находящихся под опекой и детей из семей участников специальной военной операции путевки оплачены в 100% объеме. В палаточном лагере с круглосуточным пребыванием отдыхают 10 несовершеннолетних, состоящих на профилактическом учете.</w:t>
      </w:r>
    </w:p>
    <w:p w:rsidR="00525635" w:rsidRDefault="00525635" w:rsidP="00CD6A12">
      <w:pPr>
        <w:jc w:val="both"/>
      </w:pPr>
      <w:r>
        <w:t xml:space="preserve">Из средств областного бюджета на оплату путевок в лагеря всех типов на территории округа направлено </w:t>
      </w:r>
      <w:r>
        <w:rPr>
          <w:b/>
        </w:rPr>
        <w:t>2 198 578,00</w:t>
      </w:r>
      <w:r>
        <w:t xml:space="preserve"> рублей. </w:t>
      </w:r>
    </w:p>
    <w:p w:rsidR="00525635" w:rsidRDefault="00525635" w:rsidP="00CD6A12">
      <w:pPr>
        <w:jc w:val="both"/>
      </w:pPr>
      <w:r>
        <w:t xml:space="preserve">В целях эффективной организации отдыха, оздоровления и занятости детей, проживающих на территории округа перед открытием детской оздоровительной кампании 2024 </w:t>
      </w:r>
      <w:proofErr w:type="gramStart"/>
      <w:r>
        <w:t>года</w:t>
      </w:r>
      <w:proofErr w:type="gramEnd"/>
      <w:r>
        <w:t xml:space="preserve"> состоялась приемка оздоровительных организаций членами межведомственной комиссии по утвержденному графику. Основной целью работы комиссии являлся контроль качества предоставления услуг отдыха, оздоровления детям, в том числе определение готовности лагерей к функционированию в летний период, вынесение заключения и разрешения на их открытие. По результатам работы комиссии заполнены акты и чек-листы проверки в присутствии должностных лиц организации отдыха и оздоровления детей.</w:t>
      </w:r>
    </w:p>
    <w:p w:rsidR="00525635" w:rsidRDefault="00525635" w:rsidP="00CD6A12">
      <w:pPr>
        <w:jc w:val="both"/>
      </w:pPr>
      <w:r>
        <w:t>Все лагеря занесены в Реестр организаций отдыха и оздоровления Вологодской области.</w:t>
      </w:r>
    </w:p>
    <w:p w:rsidR="00525635" w:rsidRDefault="00525635" w:rsidP="00CD6A12">
      <w:pPr>
        <w:jc w:val="both"/>
      </w:pPr>
      <w:r>
        <w:t>В учреждениях организован качественный подбор и расстановка педагогических кадров, имеющих опыт работы в оздоровительных учреждениях. Все работники оздоровительных организаций прошли гигиеническое обучение и получили справки об отсутствии судимости. 3мая был организован и проведен семинар на базе МБОУ ДО «Кичменгско-Городецкий ЦДО» для работников оздоровительных лагерей.</w:t>
      </w:r>
      <w:r w:rsidRPr="002F1E2C">
        <w:t xml:space="preserve"> </w:t>
      </w:r>
      <w:r>
        <w:t>Перед открытием ДОЛ проведен семинар с руководителями оздоровительных организаций.</w:t>
      </w:r>
    </w:p>
    <w:p w:rsidR="00525635" w:rsidRDefault="00525635" w:rsidP="00CD6A12">
      <w:pPr>
        <w:jc w:val="both"/>
      </w:pPr>
      <w:r>
        <w:t xml:space="preserve">Заключены договоры на </w:t>
      </w:r>
      <w:proofErr w:type="spellStart"/>
      <w:r>
        <w:t>акарицидную</w:t>
      </w:r>
      <w:proofErr w:type="spellEnd"/>
      <w:r>
        <w:t xml:space="preserve"> обработку территорий. Обработка проведена перед открытием лагерей.</w:t>
      </w:r>
    </w:p>
    <w:p w:rsidR="00525635" w:rsidRDefault="00525635" w:rsidP="00CD6A12">
      <w:pPr>
        <w:jc w:val="both"/>
      </w:pPr>
      <w:r>
        <w:t xml:space="preserve">Сотрудник Отдела надзорной деятельности по Никольскому и Кичменгско-Городецкому районах принимал участие в приемке лагерей. Перед началом работы с работниками проведены инструктажи с записью в журнале и тренировки по безопасной эвакуации во время пожара. </w:t>
      </w:r>
    </w:p>
    <w:p w:rsidR="00525635" w:rsidRDefault="00525635" w:rsidP="00CD6A12">
      <w:pPr>
        <w:jc w:val="both"/>
      </w:pPr>
      <w:r>
        <w:lastRenderedPageBreak/>
        <w:t xml:space="preserve">Заключены договоры с БУЗ ВО «Кичменгско-Городецкая ЦРБ им. Коржавина В.И.» на медицинское обслуживание детей, предусматривающие строгий контроль за оздоровлением и организацией питания детей. 24 мая состоялась учеба медицинских работников, закрепленных за каждым оздоровительным учреждением. </w:t>
      </w:r>
    </w:p>
    <w:p w:rsidR="00525635" w:rsidRDefault="00525635" w:rsidP="00CD6A12">
      <w:pPr>
        <w:jc w:val="both"/>
      </w:pPr>
      <w:r>
        <w:t xml:space="preserve">Во всех ЛДП действует пропускной режим. Все объекты оборудованы автоматической сигнализацией и ПАК «Стрелец-мониторинг» с выводом на пульт «01». Все дети на период нахождения в лагере застрахованы от несчастных случаев. </w:t>
      </w:r>
    </w:p>
    <w:p w:rsidR="00525635" w:rsidRDefault="00525635" w:rsidP="00CD6A12">
      <w:pPr>
        <w:jc w:val="both"/>
        <w:rPr>
          <w:shd w:val="clear" w:color="auto" w:fill="FFFFFF"/>
        </w:rPr>
      </w:pPr>
      <w:r>
        <w:rPr>
          <w:color w:val="FF0000"/>
        </w:rPr>
        <w:tab/>
      </w:r>
      <w:r>
        <w:t>Оказано содействие по трудоустройству в летний период 89 несовершеннолетних граждан в возрасте от 14 до 18 лет.</w:t>
      </w:r>
      <w:r>
        <w:rPr>
          <w:shd w:val="clear" w:color="auto" w:fill="FFFFFF"/>
        </w:rPr>
        <w:t xml:space="preserve"> </w:t>
      </w:r>
    </w:p>
    <w:p w:rsidR="00525635" w:rsidRDefault="00525635" w:rsidP="00CD6A12">
      <w:pPr>
        <w:jc w:val="both"/>
      </w:pPr>
      <w:r>
        <w:rPr>
          <w:shd w:val="clear" w:color="auto" w:fill="FFFFFF"/>
        </w:rPr>
        <w:t>Таким образом, на территории Кичменгско-Городецкого округа увеличено количество лагерей и сохранено количество детей в них. Открытие и функционирование оздоровительных организаций  в летний период 2024 года проходит в установленные сроки.</w:t>
      </w:r>
    </w:p>
    <w:p w:rsidR="00525635" w:rsidRDefault="00525635" w:rsidP="00525635">
      <w:pPr>
        <w:jc w:val="both"/>
      </w:pPr>
    </w:p>
    <w:p w:rsidR="00525635" w:rsidRDefault="00525635" w:rsidP="00525635">
      <w:pPr>
        <w:jc w:val="center"/>
      </w:pPr>
      <w:r>
        <w:t>Занятость несовершеннолетних.</w:t>
      </w:r>
    </w:p>
    <w:p w:rsidR="00CD6A12" w:rsidRDefault="00525635" w:rsidP="00CD6A12">
      <w:pPr>
        <w:ind w:left="-567"/>
        <w:jc w:val="both"/>
      </w:pPr>
      <w:r>
        <w:t xml:space="preserve">В рамках реализации </w:t>
      </w:r>
      <w:r w:rsidRPr="004F0BAE">
        <w:t>муниципальн</w:t>
      </w:r>
      <w:r>
        <w:t>ой</w:t>
      </w:r>
      <w:r w:rsidRPr="004F0BAE">
        <w:t xml:space="preserve"> программ</w:t>
      </w:r>
      <w:r>
        <w:t>ы</w:t>
      </w:r>
      <w:r w:rsidRPr="004F0BAE">
        <w:t xml:space="preserve"> «Экономическое развитие Кичменгско-Городецкого муниципального округа</w:t>
      </w:r>
      <w:r>
        <w:t>» на трудоустройство несовершеннолетних граждан в возрасте от 14 до 18 лет в 2024 году выделено средств районного бюджета 403,6 тыс. руб.:</w:t>
      </w:r>
      <w:r w:rsidRPr="00EB0328">
        <w:t xml:space="preserve"> </w:t>
      </w:r>
      <w:r>
        <w:t>образование 285,6 тыс. руб., культура 118,00 тыс. руб. (2023 год - 279,4 тыс. руб.) Планируется трудоустройство 119 чел.: лето (июнь, июль) – 89 чел., осень 30 чел., что на 10 человек больше уровня 2023 года. Все несовершеннолетние граждане получат материальную поддержку за счет средств областного бюджета. (из расчета 1725,00 руб. за полностью отработанный месяц, в соответствии с фактически отработанным периодом)</w:t>
      </w:r>
      <w:r w:rsidR="00CD6A12">
        <w:t>.</w:t>
      </w:r>
    </w:p>
    <w:p w:rsidR="00525635" w:rsidRDefault="00CD6A12" w:rsidP="00CD6A12">
      <w:pPr>
        <w:ind w:left="-567"/>
        <w:jc w:val="both"/>
      </w:pPr>
      <w:r>
        <w:t>Охват трудоустройством несовершеннолетних граждан в 2024 году составит 18%, на уровне 2022-2023г. Численность несовершеннолетних граждан в возрасте от 14 до 18 лет, проживающих в Кичменгско-Городецком округе, по статистике на 2024 год- 659 чел. (2023г. – 633 чел., 2022г. - 542 чел., 2021г. - 593 чел.).</w:t>
      </w:r>
    </w:p>
    <w:p w:rsidR="004E23CA" w:rsidRDefault="00CD6A12" w:rsidP="00CD6A12">
      <w:pPr>
        <w:ind w:left="-567"/>
        <w:jc w:val="both"/>
        <w:rPr>
          <w:lang w:eastAsia="ru-RU"/>
        </w:rPr>
      </w:pPr>
      <w:r w:rsidRPr="00CD6A12">
        <w:rPr>
          <w:lang w:eastAsia="ru-RU"/>
        </w:rPr>
        <w:t>Перечень рабочих мест по временному трудоустройству несовершеннолетних граждан в возрасте от 14 до 18 лет - 2024 год (119 человек).</w:t>
      </w:r>
    </w:p>
    <w:tbl>
      <w:tblPr>
        <w:tblW w:w="10662" w:type="dxa"/>
        <w:tblInd w:w="-699" w:type="dxa"/>
        <w:tblLook w:val="04A0" w:firstRow="1" w:lastRow="0" w:firstColumn="1" w:lastColumn="0" w:noHBand="0" w:noVBand="1"/>
      </w:tblPr>
      <w:tblGrid>
        <w:gridCol w:w="688"/>
        <w:gridCol w:w="5092"/>
        <w:gridCol w:w="1657"/>
        <w:gridCol w:w="1479"/>
        <w:gridCol w:w="1746"/>
      </w:tblGrid>
      <w:tr w:rsidR="00CD6A12" w:rsidRPr="00CD6A12" w:rsidTr="004E23CA">
        <w:trPr>
          <w:trHeight w:val="5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Период работы, лето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Лето/ Кол-во чел.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Осень/ Кол-во чел.</w:t>
            </w:r>
          </w:p>
        </w:tc>
      </w:tr>
      <w:tr w:rsidR="00CD6A12" w:rsidRPr="00CD6A12" w:rsidTr="004E23CA">
        <w:trPr>
          <w:trHeight w:val="397"/>
        </w:trPr>
        <w:tc>
          <w:tcPr>
            <w:tcW w:w="10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jc w:val="center"/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Образование (83 чел., 285600,00 руб.)</w:t>
            </w:r>
          </w:p>
        </w:tc>
      </w:tr>
      <w:tr w:rsidR="00CD6A12" w:rsidRPr="00CD6A12" w:rsidTr="004E23CA">
        <w:trPr>
          <w:trHeight w:val="856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 xml:space="preserve">МБОУ ДО «Кичменгско-Городецкий центр дополнительного образования»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04.06-17.06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5</w:t>
            </w:r>
          </w:p>
        </w:tc>
      </w:tr>
      <w:tr w:rsidR="00CD6A12" w:rsidRPr="00CD6A12" w:rsidTr="004E23CA">
        <w:trPr>
          <w:trHeight w:val="8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МАОУ "Первомайская средняя школа"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14.06-26.06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6</w:t>
            </w:r>
          </w:p>
        </w:tc>
      </w:tr>
      <w:tr w:rsidR="00CD6A12" w:rsidRPr="00CD6A12" w:rsidTr="004E23CA">
        <w:trPr>
          <w:trHeight w:val="6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lastRenderedPageBreak/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 xml:space="preserve">МАОУ "Кичменгско-Городецкая средняя школа"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05.06-18.06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6</w:t>
            </w:r>
          </w:p>
        </w:tc>
      </w:tr>
      <w:tr w:rsidR="00CD6A12" w:rsidRPr="00CD6A12" w:rsidTr="004E23CA">
        <w:trPr>
          <w:trHeight w:val="8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МБОУ "</w:t>
            </w:r>
            <w:proofErr w:type="spellStart"/>
            <w:r w:rsidRPr="00CD6A12">
              <w:rPr>
                <w:bCs/>
                <w:lang w:eastAsia="ru-RU"/>
              </w:rPr>
              <w:t>Югская</w:t>
            </w:r>
            <w:proofErr w:type="spellEnd"/>
            <w:r w:rsidRPr="00CD6A12">
              <w:rPr>
                <w:bCs/>
                <w:lang w:eastAsia="ru-RU"/>
              </w:rPr>
              <w:t xml:space="preserve"> основная школа"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05.06-18.06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</w:t>
            </w:r>
          </w:p>
        </w:tc>
      </w:tr>
      <w:tr w:rsidR="00CD6A12" w:rsidRPr="00CD6A12" w:rsidTr="004E23CA">
        <w:trPr>
          <w:trHeight w:val="10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МАОУ "</w:t>
            </w:r>
            <w:proofErr w:type="spellStart"/>
            <w:r w:rsidRPr="00CD6A12">
              <w:rPr>
                <w:bCs/>
                <w:lang w:eastAsia="ru-RU"/>
              </w:rPr>
              <w:t>Нижнеенангская</w:t>
            </w:r>
            <w:proofErr w:type="spellEnd"/>
            <w:r w:rsidRPr="00CD6A12">
              <w:rPr>
                <w:bCs/>
                <w:lang w:eastAsia="ru-RU"/>
              </w:rPr>
              <w:t xml:space="preserve"> средняя школа", (16124,60)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04.06-17.06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0</w:t>
            </w:r>
          </w:p>
        </w:tc>
      </w:tr>
      <w:tr w:rsidR="00CD6A12" w:rsidRPr="00CD6A12" w:rsidTr="004E23CA">
        <w:trPr>
          <w:trHeight w:val="7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МАОУ "</w:t>
            </w:r>
            <w:proofErr w:type="spellStart"/>
            <w:r w:rsidRPr="00CD6A12">
              <w:rPr>
                <w:bCs/>
                <w:lang w:eastAsia="ru-RU"/>
              </w:rPr>
              <w:t>Косковская</w:t>
            </w:r>
            <w:proofErr w:type="spellEnd"/>
            <w:r w:rsidRPr="00CD6A12">
              <w:rPr>
                <w:bCs/>
                <w:lang w:eastAsia="ru-RU"/>
              </w:rPr>
              <w:t xml:space="preserve"> средняя школа"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14.06-26.06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3</w:t>
            </w:r>
          </w:p>
        </w:tc>
      </w:tr>
      <w:tr w:rsidR="00CD6A12" w:rsidRPr="00CD6A12" w:rsidTr="004E23CA">
        <w:trPr>
          <w:trHeight w:val="3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lang w:eastAsia="ru-RU"/>
              </w:rPr>
            </w:pPr>
            <w:r w:rsidRPr="00CD6A12">
              <w:rPr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Итого: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61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22</w:t>
            </w:r>
          </w:p>
        </w:tc>
      </w:tr>
      <w:tr w:rsidR="00CD6A12" w:rsidRPr="00CD6A12" w:rsidTr="004E23CA">
        <w:trPr>
          <w:trHeight w:val="300"/>
        </w:trPr>
        <w:tc>
          <w:tcPr>
            <w:tcW w:w="10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A12" w:rsidRPr="00CD6A12" w:rsidRDefault="00CD6A12" w:rsidP="00153EE8">
            <w:pPr>
              <w:jc w:val="center"/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Культура (36 чел., 118000,00 руб.)</w:t>
            </w:r>
          </w:p>
        </w:tc>
      </w:tr>
      <w:tr w:rsidR="00CD6A12" w:rsidRPr="00CD6A12" w:rsidTr="004E23CA">
        <w:trPr>
          <w:trHeight w:val="6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D13337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Бюджетное учреждение культуры "Центральный дом культуры" Кичменгско-Городецкого муниципального округа  Вологодской области"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03.07-15.07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</w:t>
            </w:r>
          </w:p>
        </w:tc>
      </w:tr>
      <w:tr w:rsidR="00CD6A12" w:rsidRPr="00CD6A12" w:rsidTr="004E23CA">
        <w:trPr>
          <w:trHeight w:val="1264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D13337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 xml:space="preserve">Бюджетное образовательное учреждение дополнительного образования «Кичменгско-Городецкая детская школа искусств им. </w:t>
            </w:r>
            <w:proofErr w:type="spellStart"/>
            <w:r w:rsidRPr="00CD6A12">
              <w:rPr>
                <w:bCs/>
                <w:lang w:eastAsia="ru-RU"/>
              </w:rPr>
              <w:t>Н.П.Парушева</w:t>
            </w:r>
            <w:proofErr w:type="spellEnd"/>
            <w:r w:rsidRPr="00CD6A12">
              <w:rPr>
                <w:bCs/>
                <w:lang w:eastAsia="ru-RU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04.06-17.06; 14.06-26.06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</w:t>
            </w:r>
          </w:p>
        </w:tc>
      </w:tr>
      <w:tr w:rsidR="00CD6A12" w:rsidRPr="00CD6A12" w:rsidTr="004E23CA">
        <w:trPr>
          <w:trHeight w:val="12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D13337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9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 xml:space="preserve">Бюджетное учреждение культуры "Кичменгско-Городецкий краеведческий музей" Кичменгско-Городецкого муниципального округа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10.07-22.07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</w:t>
            </w:r>
          </w:p>
        </w:tc>
      </w:tr>
      <w:tr w:rsidR="00CD6A12" w:rsidRPr="00CD6A12" w:rsidTr="004E23CA">
        <w:trPr>
          <w:trHeight w:val="141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D13337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 xml:space="preserve">Бюджетное учреждение культуры «Кичменгско-Городецкая централизованная библиотечная система» Кичменгско-Городецкого муниципального округа Вологодской области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jc w:val="center"/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04.07-16.07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lang w:eastAsia="ru-RU"/>
              </w:rPr>
            </w:pPr>
            <w:r w:rsidRPr="00CD6A12">
              <w:rPr>
                <w:lang w:eastAsia="ru-RU"/>
              </w:rPr>
              <w:t>2</w:t>
            </w:r>
          </w:p>
        </w:tc>
      </w:tr>
      <w:tr w:rsidR="00CD6A12" w:rsidRPr="00CD6A12" w:rsidTr="004E23CA">
        <w:trPr>
          <w:trHeight w:val="41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lang w:eastAsia="ru-RU"/>
              </w:rPr>
            </w:pPr>
            <w:r w:rsidRPr="00CD6A12">
              <w:rPr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lang w:eastAsia="ru-RU"/>
              </w:rPr>
            </w:pPr>
            <w:r w:rsidRPr="00CD6A12">
              <w:rPr>
                <w:lang w:eastAsia="ru-RU"/>
              </w:rPr>
              <w:t>Итого: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153EE8">
            <w:pPr>
              <w:rPr>
                <w:lang w:eastAsia="ru-RU"/>
              </w:rPr>
            </w:pPr>
            <w:r w:rsidRPr="00CD6A12">
              <w:rPr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A12" w:rsidRPr="00CD6A12" w:rsidRDefault="00CD6A12" w:rsidP="00CD6A12">
            <w:pPr>
              <w:jc w:val="center"/>
              <w:rPr>
                <w:bCs/>
                <w:lang w:eastAsia="ru-RU"/>
              </w:rPr>
            </w:pPr>
            <w:r w:rsidRPr="00CD6A12">
              <w:rPr>
                <w:bCs/>
                <w:lang w:eastAsia="ru-RU"/>
              </w:rPr>
              <w:t>8</w:t>
            </w:r>
          </w:p>
        </w:tc>
      </w:tr>
    </w:tbl>
    <w:p w:rsidR="00D13337" w:rsidRDefault="00D13337" w:rsidP="00D13337">
      <w:pPr>
        <w:ind w:left="-284"/>
        <w:jc w:val="both"/>
      </w:pPr>
      <w:r>
        <w:rPr>
          <w:lang w:eastAsia="ru-RU"/>
        </w:rPr>
        <w:t xml:space="preserve">Большая работа проводится с несовершеннолетними, состоящими на учете </w:t>
      </w:r>
      <w:r>
        <w:t xml:space="preserve">в ОМВД и КДН. В 2023 году было трудоустроено 13 чел., состоящих на учете. В 2024 году планируется трудоустройство данной категории на уровне прошлого года. </w:t>
      </w:r>
    </w:p>
    <w:p w:rsidR="00D13337" w:rsidRDefault="00D13337" w:rsidP="00D13337">
      <w:pPr>
        <w:ind w:left="-284"/>
        <w:jc w:val="both"/>
        <w:rPr>
          <w:rFonts w:eastAsia="Calibri"/>
          <w:b/>
        </w:rPr>
      </w:pPr>
      <w:r w:rsidRPr="00E828DB">
        <w:t>В 20</w:t>
      </w:r>
      <w:r>
        <w:t>23</w:t>
      </w:r>
      <w:r w:rsidRPr="00E828DB">
        <w:t xml:space="preserve"> году в областном конкурсе «Лучший корпоративный трудовой отряд», который был организован по инициативе главы региона</w:t>
      </w:r>
      <w:r>
        <w:t xml:space="preserve">, </w:t>
      </w:r>
      <w:r w:rsidRPr="00E828DB">
        <w:t>приним</w:t>
      </w:r>
      <w:r>
        <w:t>али</w:t>
      </w:r>
      <w:r w:rsidRPr="00E828DB">
        <w:t xml:space="preserve"> участие </w:t>
      </w:r>
      <w:r w:rsidRPr="00D31F1C">
        <w:rPr>
          <w:bCs/>
          <w:lang w:eastAsia="ru-RU"/>
        </w:rPr>
        <w:t>Б</w:t>
      </w:r>
      <w:r w:rsidRPr="002B1B54">
        <w:rPr>
          <w:bCs/>
          <w:lang w:eastAsia="ru-RU"/>
        </w:rPr>
        <w:t xml:space="preserve">УК </w:t>
      </w:r>
      <w:r w:rsidRPr="00D31F1C">
        <w:rPr>
          <w:bCs/>
          <w:lang w:eastAsia="ru-RU"/>
        </w:rPr>
        <w:t>"Центральный дом культуры"</w:t>
      </w:r>
      <w:r>
        <w:rPr>
          <w:bCs/>
          <w:lang w:eastAsia="ru-RU"/>
        </w:rPr>
        <w:t>, в</w:t>
      </w:r>
      <w:r>
        <w:t xml:space="preserve"> 2024 году эстафету приняли </w:t>
      </w:r>
      <w:r w:rsidRPr="00D31F1C">
        <w:rPr>
          <w:bCs/>
          <w:lang w:eastAsia="ru-RU"/>
        </w:rPr>
        <w:t>Б</w:t>
      </w:r>
      <w:r w:rsidRPr="002B1B54">
        <w:rPr>
          <w:bCs/>
          <w:lang w:eastAsia="ru-RU"/>
        </w:rPr>
        <w:t>УК</w:t>
      </w:r>
      <w:r w:rsidRPr="00D31F1C">
        <w:rPr>
          <w:bCs/>
          <w:lang w:eastAsia="ru-RU"/>
        </w:rPr>
        <w:t xml:space="preserve"> "Кичменгско-Городецкий краеведческий музей"</w:t>
      </w:r>
      <w:r w:rsidRPr="002B1B54">
        <w:rPr>
          <w:bCs/>
          <w:lang w:eastAsia="ru-RU"/>
        </w:rPr>
        <w:t>.</w:t>
      </w:r>
    </w:p>
    <w:p w:rsidR="00D13337" w:rsidRDefault="00D13337" w:rsidP="00D13337">
      <w:pPr>
        <w:ind w:left="-284"/>
        <w:jc w:val="both"/>
        <w:rPr>
          <w:rFonts w:eastAsia="Calibri"/>
          <w:b/>
        </w:rPr>
      </w:pPr>
    </w:p>
    <w:p w:rsidR="00D13337" w:rsidRDefault="00D13337" w:rsidP="00D13337">
      <w:pPr>
        <w:ind w:left="-284"/>
        <w:jc w:val="both"/>
        <w:rPr>
          <w:rFonts w:eastAsia="Calibri"/>
          <w:b/>
        </w:rPr>
      </w:pPr>
    </w:p>
    <w:p w:rsidR="00D13337" w:rsidRDefault="00D13337" w:rsidP="00D13337">
      <w:pPr>
        <w:ind w:left="-284"/>
        <w:jc w:val="both"/>
        <w:rPr>
          <w:rFonts w:eastAsia="Calibri"/>
          <w:b/>
        </w:rPr>
      </w:pPr>
    </w:p>
    <w:p w:rsidR="00D13337" w:rsidRDefault="00D13337" w:rsidP="00D13337">
      <w:pPr>
        <w:jc w:val="center"/>
        <w:rPr>
          <w:rFonts w:eastAsia="Calibri"/>
        </w:rPr>
      </w:pPr>
      <w:r w:rsidRPr="00D13337">
        <w:rPr>
          <w:rFonts w:eastAsia="Calibri"/>
        </w:rPr>
        <w:lastRenderedPageBreak/>
        <w:t>Информация</w:t>
      </w:r>
    </w:p>
    <w:p w:rsidR="00D13337" w:rsidRDefault="00D13337" w:rsidP="00D13337">
      <w:pPr>
        <w:jc w:val="center"/>
        <w:rPr>
          <w:rFonts w:eastAsia="Calibri"/>
        </w:rPr>
      </w:pPr>
      <w:r w:rsidRPr="00D13337">
        <w:rPr>
          <w:rFonts w:eastAsia="Calibri"/>
        </w:rPr>
        <w:t xml:space="preserve"> по летнему отдыху детей в учреждениях культуры, охвату детей организованными формами отдыха</w:t>
      </w:r>
      <w:r>
        <w:rPr>
          <w:rFonts w:eastAsia="Calibri"/>
        </w:rPr>
        <w:t>.</w:t>
      </w:r>
    </w:p>
    <w:p w:rsidR="00D13337" w:rsidRPr="00D13337" w:rsidRDefault="00D13337" w:rsidP="00D13337">
      <w:pPr>
        <w:jc w:val="center"/>
        <w:rPr>
          <w:rFonts w:eastAsia="Calibri"/>
        </w:rPr>
      </w:pPr>
    </w:p>
    <w:p w:rsidR="00525635" w:rsidRPr="00C50082" w:rsidRDefault="00525635" w:rsidP="00525635">
      <w:pPr>
        <w:ind w:firstLine="709"/>
        <w:jc w:val="both"/>
      </w:pPr>
      <w:r>
        <w:t>В летний период</w:t>
      </w:r>
      <w:r w:rsidRPr="00231A8B">
        <w:t xml:space="preserve"> во всех в учреждениях культуры будут работать детские площадки кратковременного пребывания. </w:t>
      </w:r>
      <w:r w:rsidRPr="001706F1">
        <w:rPr>
          <w:rFonts w:eastAsia="Times New Roman"/>
          <w:color w:val="000000"/>
          <w:lang w:eastAsia="ru-RU"/>
        </w:rPr>
        <w:t>Для организации отдыха и занятости детей в период летних каникул на</w:t>
      </w:r>
      <w:r>
        <w:rPr>
          <w:rFonts w:eastAsia="Times New Roman"/>
          <w:color w:val="000000"/>
          <w:lang w:eastAsia="ru-RU"/>
        </w:rPr>
        <w:t xml:space="preserve"> базе филиалов БУК «Централизованная библиотечная система</w:t>
      </w:r>
      <w:r w:rsidRPr="001706F1">
        <w:rPr>
          <w:rFonts w:eastAsia="Times New Roman"/>
          <w:color w:val="000000"/>
          <w:lang w:eastAsia="ru-RU"/>
        </w:rPr>
        <w:t>» будет организовано 20 групп кратковременного пребывания</w:t>
      </w:r>
      <w:r>
        <w:rPr>
          <w:rFonts w:eastAsia="Times New Roman"/>
          <w:color w:val="000000"/>
          <w:lang w:eastAsia="ru-RU"/>
        </w:rPr>
        <w:t>, на базе филиалов БУК «Центральный дом культуры» - 17.</w:t>
      </w:r>
      <w:r w:rsidRPr="00231A8B">
        <w:t xml:space="preserve"> Длительность – </w:t>
      </w:r>
      <w:r>
        <w:t xml:space="preserve">1-2 </w:t>
      </w:r>
      <w:r w:rsidRPr="00231A8B">
        <w:t>недели, 1,5- 2 часа в день. Охват детей по летним детским площадкам</w:t>
      </w:r>
      <w:r>
        <w:t xml:space="preserve"> (планируемое количество)</w:t>
      </w:r>
      <w:r w:rsidRPr="00231A8B">
        <w:t xml:space="preserve">: </w:t>
      </w:r>
      <w:r w:rsidRPr="00231A8B">
        <w:rPr>
          <w:rFonts w:eastAsia="Calibri"/>
        </w:rPr>
        <w:t>БУК «Центральн</w:t>
      </w:r>
      <w:r>
        <w:rPr>
          <w:rFonts w:eastAsia="Calibri"/>
        </w:rPr>
        <w:t>ый дом культуры» и филиалы – 300</w:t>
      </w:r>
      <w:r w:rsidRPr="00231A8B">
        <w:rPr>
          <w:rFonts w:eastAsia="Calibri"/>
        </w:rPr>
        <w:t xml:space="preserve"> человек; </w:t>
      </w:r>
      <w:r w:rsidRPr="00231A8B">
        <w:t xml:space="preserve">БУК «Центральная </w:t>
      </w:r>
      <w:proofErr w:type="spellStart"/>
      <w:r>
        <w:t>межпоселенческая</w:t>
      </w:r>
      <w:proofErr w:type="spellEnd"/>
      <w:r>
        <w:t xml:space="preserve"> библиотека» и филиалы – 300</w:t>
      </w:r>
      <w:r w:rsidRPr="00231A8B">
        <w:t xml:space="preserve"> человек.</w:t>
      </w:r>
      <w:r>
        <w:t xml:space="preserve"> </w:t>
      </w:r>
      <w:r w:rsidRPr="001706F1">
        <w:rPr>
          <w:rFonts w:eastAsia="Times New Roman"/>
          <w:color w:val="000000"/>
          <w:lang w:eastAsia="ru-RU"/>
        </w:rPr>
        <w:t>Также планируется организовать летний читальный зал в Сосновом парке села Кичменгский Городок с настольными играми, книгами, журналами</w:t>
      </w:r>
      <w:r>
        <w:t xml:space="preserve">. В </w:t>
      </w:r>
      <w:r w:rsidRPr="00C50082">
        <w:t>учреждениях на территориях запланиров</w:t>
      </w:r>
      <w:r>
        <w:t>аны мероприятия для групп детей: запланировано более 700 мероприятий, планируемое количество посещений более 20000.</w:t>
      </w:r>
    </w:p>
    <w:p w:rsidR="00525635" w:rsidRDefault="00525635" w:rsidP="00525635">
      <w:pPr>
        <w:ind w:firstLine="709"/>
        <w:jc w:val="both"/>
      </w:pPr>
      <w:r>
        <w:t xml:space="preserve">Для ребят будут проводиться </w:t>
      </w:r>
      <w:proofErr w:type="spellStart"/>
      <w:r>
        <w:t>разноообразные</w:t>
      </w:r>
      <w:proofErr w:type="spellEnd"/>
      <w:r>
        <w:t xml:space="preserve"> досуговые и игровые мероприятия, направленные на популяризацию здорового образа </w:t>
      </w:r>
      <w:r w:rsidRPr="00F73FD3">
        <w:t>жизни, мероприятия по патриотическому, экологическому, нравственному воспитанию. Будут</w:t>
      </w:r>
      <w:r w:rsidR="00D13337">
        <w:t xml:space="preserve"> работать все детские культурно–</w:t>
      </w:r>
      <w:r w:rsidRPr="00F73FD3">
        <w:t>досуговые формирования</w:t>
      </w:r>
      <w:r>
        <w:t xml:space="preserve">. К проведению некоторых мероприятий будут привлечены волонтеры - дети и взрослые. </w:t>
      </w:r>
    </w:p>
    <w:p w:rsidR="00525635" w:rsidRPr="000145C1" w:rsidRDefault="00525635" w:rsidP="00525635">
      <w:pPr>
        <w:ind w:firstLine="709"/>
        <w:jc w:val="both"/>
      </w:pPr>
      <w:r>
        <w:t>В оставшееся рабочее время (за исключением отпусков и работы площадки), мероприятия для детей будут проводиться в соответствии с Планом работы на год. Как всегда, запланированы мероприятия в рамках акций «Международного дня защиты детей», «Пушкинский день России», «День семьи, любви и верности»; к государственным праздникам и памятным датам: 12 июня – День России, 22 июня – День памяти и скорби,</w:t>
      </w:r>
      <w:r w:rsidRPr="000145C1">
        <w:t xml:space="preserve"> </w:t>
      </w:r>
      <w:r>
        <w:t xml:space="preserve">21 августа – День Государственного флага России. </w:t>
      </w:r>
      <w:r w:rsidRPr="008D52C2">
        <w:rPr>
          <w:rFonts w:eastAsia="Times New Roman"/>
          <w:color w:val="000000"/>
          <w:lang w:eastAsia="ru-RU"/>
        </w:rPr>
        <w:t xml:space="preserve">Регулярно будут организованы мероприятия на свежем воздухе, экскурсии, туристический слет </w:t>
      </w:r>
      <w:r w:rsidRPr="008D52C2">
        <w:rPr>
          <w:rFonts w:eastAsia="Calibri"/>
          <w:color w:val="000000"/>
          <w:lang w:eastAsia="ru-RU"/>
        </w:rPr>
        <w:t>«Движение на опережение»</w:t>
      </w:r>
      <w:r w:rsidRPr="008D52C2">
        <w:rPr>
          <w:rFonts w:eastAsia="Times New Roman"/>
          <w:color w:val="000000"/>
          <w:lang w:eastAsia="ru-RU"/>
        </w:rPr>
        <w:t xml:space="preserve"> (11 июня)</w:t>
      </w:r>
      <w:r>
        <w:rPr>
          <w:rFonts w:eastAsia="Times New Roman"/>
          <w:color w:val="000000"/>
          <w:lang w:eastAsia="ru-RU"/>
        </w:rPr>
        <w:t>.</w:t>
      </w:r>
    </w:p>
    <w:p w:rsidR="00525635" w:rsidRDefault="00525635" w:rsidP="00525635">
      <w:pPr>
        <w:jc w:val="both"/>
      </w:pPr>
      <w:r>
        <w:t xml:space="preserve">         В </w:t>
      </w:r>
      <w:r w:rsidRPr="000145C1">
        <w:t xml:space="preserve">БУК «Кичменгско-Городецкий районный краеведческий музей» </w:t>
      </w:r>
      <w:r>
        <w:t xml:space="preserve">в течении всего лета будут проводиться экскурсии, </w:t>
      </w:r>
      <w:proofErr w:type="spellStart"/>
      <w:r>
        <w:t>квесты</w:t>
      </w:r>
      <w:proofErr w:type="spellEnd"/>
      <w:r>
        <w:t>, познавательны</w:t>
      </w:r>
      <w:r w:rsidR="00D13337">
        <w:t>е игры, туристические маршруты.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7031"/>
        <w:gridCol w:w="2041"/>
      </w:tblGrid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jc w:val="center"/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jc w:val="center"/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Сроки проведения </w:t>
            </w:r>
          </w:p>
          <w:p w:rsidR="00525635" w:rsidRPr="000F1438" w:rsidRDefault="00525635" w:rsidP="00153EE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Экскурсия по выставке художественных картин</w:t>
            </w:r>
          </w:p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 </w:t>
            </w:r>
            <w:r w:rsidRPr="000F1438">
              <w:rPr>
                <w:color w:val="2C2D2E"/>
                <w:sz w:val="28"/>
                <w:szCs w:val="28"/>
                <w:lang w:eastAsia="ru-RU"/>
              </w:rPr>
              <w:t>«Симфония цвета», к 85-летию со дня рождения В.А. Гаврилина и 85-летию ВРО ВТОО «Союз художников России»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Июнь - август</w:t>
            </w:r>
            <w:bookmarkStart w:id="0" w:name="_GoBack"/>
            <w:bookmarkEnd w:id="0"/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Театрализованное представление в кукольном формате по сказкам А.С. Пушкина «Лето на распашку»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Июнь-июль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Музейный </w:t>
            </w:r>
            <w:proofErr w:type="spellStart"/>
            <w:r w:rsidRPr="000F1438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0F1438">
              <w:rPr>
                <w:sz w:val="28"/>
                <w:szCs w:val="28"/>
                <w:lang w:eastAsia="ru-RU"/>
              </w:rPr>
              <w:t xml:space="preserve"> «Юные кладоискатели»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Июнь- август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Экскурсия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F1438">
              <w:rPr>
                <w:sz w:val="28"/>
                <w:szCs w:val="28"/>
                <w:lang w:eastAsia="ru-RU"/>
              </w:rPr>
              <w:t>«Путешествие в парк Пермского периода»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Июнь- июль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Акция «Свеча памяти»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22 июня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Экскурсионная игровая программа «Свет и тень»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Июнь-август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Игра- викторина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F1438">
              <w:rPr>
                <w:sz w:val="28"/>
                <w:szCs w:val="28"/>
                <w:lang w:eastAsia="ru-RU"/>
              </w:rPr>
              <w:t>«Душа России в символах её»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Август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Туристический маршрут «На Родину Героя»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Июнь- август (по заявкам)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Пешеходная экскурсия по </w:t>
            </w:r>
            <w:proofErr w:type="spellStart"/>
            <w:r w:rsidRPr="000F1438">
              <w:rPr>
                <w:sz w:val="28"/>
                <w:szCs w:val="28"/>
                <w:lang w:eastAsia="ru-RU"/>
              </w:rPr>
              <w:t>Кичменгскому</w:t>
            </w:r>
            <w:proofErr w:type="spellEnd"/>
            <w:r w:rsidRPr="000F1438">
              <w:rPr>
                <w:sz w:val="28"/>
                <w:szCs w:val="28"/>
                <w:lang w:eastAsia="ru-RU"/>
              </w:rPr>
              <w:t xml:space="preserve"> Городку (историческая часть)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Июль-август </w:t>
            </w:r>
          </w:p>
        </w:tc>
      </w:tr>
      <w:tr w:rsidR="00525635" w:rsidRPr="000F1438" w:rsidTr="004E23CA">
        <w:tc>
          <w:tcPr>
            <w:tcW w:w="704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31" w:type="dxa"/>
          </w:tcPr>
          <w:p w:rsidR="00525635" w:rsidRPr="000F1438" w:rsidRDefault="00525635" w:rsidP="00153EE8">
            <w:pPr>
              <w:jc w:val="both"/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>Экскурсионная программа «Кичменгский край. Прошлое. Настоящее», к 100-летию образования района</w:t>
            </w:r>
          </w:p>
        </w:tc>
        <w:tc>
          <w:tcPr>
            <w:tcW w:w="2041" w:type="dxa"/>
          </w:tcPr>
          <w:p w:rsidR="00525635" w:rsidRPr="000F1438" w:rsidRDefault="00525635" w:rsidP="00153EE8">
            <w:pPr>
              <w:rPr>
                <w:sz w:val="28"/>
                <w:szCs w:val="28"/>
                <w:lang w:eastAsia="ru-RU"/>
              </w:rPr>
            </w:pPr>
            <w:r w:rsidRPr="000F1438">
              <w:rPr>
                <w:sz w:val="28"/>
                <w:szCs w:val="28"/>
                <w:lang w:eastAsia="ru-RU"/>
              </w:rPr>
              <w:t xml:space="preserve">Июнь-август </w:t>
            </w:r>
          </w:p>
        </w:tc>
      </w:tr>
    </w:tbl>
    <w:p w:rsidR="00525635" w:rsidRDefault="00525635" w:rsidP="00525635">
      <w:pPr>
        <w:jc w:val="both"/>
      </w:pPr>
      <w:r>
        <w:t xml:space="preserve">            </w:t>
      </w:r>
    </w:p>
    <w:p w:rsidR="00525635" w:rsidRDefault="00525635" w:rsidP="00525635">
      <w:pPr>
        <w:jc w:val="both"/>
      </w:pPr>
      <w:r>
        <w:t xml:space="preserve">          Работниками </w:t>
      </w:r>
      <w:r w:rsidRPr="000145C1">
        <w:t xml:space="preserve">ЦТНК «Пересвет» </w:t>
      </w:r>
      <w:r>
        <w:t xml:space="preserve">(в связи с ремонтом ЦТНК, работники находятся в ЦДК) в течении всего летнего </w:t>
      </w:r>
      <w:r w:rsidRPr="00231A8B">
        <w:t xml:space="preserve">периода будут проводится </w:t>
      </w:r>
      <w:r>
        <w:t>м</w:t>
      </w:r>
      <w:r w:rsidRPr="00231A8B">
        <w:t>астер-классы по традиционной народной культуре</w:t>
      </w:r>
      <w:r>
        <w:t xml:space="preserve">, в том числе и с выездами на территории.           </w:t>
      </w:r>
    </w:p>
    <w:p w:rsidR="00525635" w:rsidRPr="00FE579C" w:rsidRDefault="00525635" w:rsidP="00525635">
      <w:pPr>
        <w:jc w:val="both"/>
      </w:pPr>
      <w:r>
        <w:t xml:space="preserve">           П</w:t>
      </w:r>
      <w:r w:rsidRPr="000145C1">
        <w:t xml:space="preserve">ланы </w:t>
      </w:r>
      <w:r>
        <w:t>работы данных учреждений с</w:t>
      </w:r>
      <w:r w:rsidRPr="000145C1">
        <w:t xml:space="preserve">оставлены с учетом работы детских оздоровительных лагерей с дневным пребыванием при образовательных организациях.  </w:t>
      </w:r>
      <w:r>
        <w:t xml:space="preserve">         </w:t>
      </w:r>
    </w:p>
    <w:p w:rsidR="00525635" w:rsidRPr="00D13337" w:rsidRDefault="00525635" w:rsidP="00D13337">
      <w:pPr>
        <w:snapToGrid w:val="0"/>
        <w:jc w:val="both"/>
      </w:pPr>
      <w:r w:rsidRPr="00FE579C">
        <w:rPr>
          <w:color w:val="000000"/>
        </w:rPr>
        <w:t xml:space="preserve">           В течении лета будут организованы физкультурно-спортивные мероприятия: Дни здоровья, День физкультурника, массовые спортивные праздники и др.</w:t>
      </w:r>
      <w:r w:rsidRPr="00FE579C">
        <w:rPr>
          <w:rFonts w:eastAsia="Calibri"/>
          <w:color w:val="000000"/>
          <w:shd w:val="clear" w:color="auto" w:fill="FFFFFF"/>
        </w:rPr>
        <w:t xml:space="preserve"> В рамках мероприятий массового спорта и в соответствии с планом официальных физкультурно-спортивных мероприятий будут проведены: Всероссийский</w:t>
      </w:r>
      <w:r w:rsidRPr="00FE579C">
        <w:rPr>
          <w:rFonts w:eastAsia="Times New Roman"/>
          <w:lang w:eastAsia="ar-SA"/>
        </w:rPr>
        <w:t xml:space="preserve"> Олимпийский день (16 июня), </w:t>
      </w:r>
      <w:r w:rsidRPr="00FE579C">
        <w:t xml:space="preserve">первенство округа по пляжному волейболу и </w:t>
      </w:r>
      <w:r w:rsidRPr="00FE579C">
        <w:rPr>
          <w:rFonts w:eastAsia="Times New Roman"/>
          <w:lang w:eastAsia="ar-SA"/>
        </w:rPr>
        <w:t xml:space="preserve">первенство округа по уличному баскетболу (июль), </w:t>
      </w:r>
      <w:r>
        <w:rPr>
          <w:rFonts w:eastAsia="Times New Roman"/>
          <w:lang w:eastAsia="ar-SA"/>
        </w:rPr>
        <w:t>с</w:t>
      </w:r>
      <w:r w:rsidRPr="00FE579C">
        <w:rPr>
          <w:rFonts w:eastAsia="Times New Roman"/>
          <w:lang w:eastAsia="ar-SA"/>
        </w:rPr>
        <w:t xml:space="preserve">оревнования по туризму «Азимут» и </w:t>
      </w:r>
      <w:r>
        <w:rPr>
          <w:rFonts w:eastAsia="Times New Roman"/>
          <w:lang w:eastAsia="ar-SA"/>
        </w:rPr>
        <w:t>р</w:t>
      </w:r>
      <w:r w:rsidRPr="00FE579C">
        <w:rPr>
          <w:rFonts w:eastAsia="Times New Roman"/>
          <w:lang w:eastAsia="ar-SA"/>
        </w:rPr>
        <w:t xml:space="preserve">айонный турнир по мини-футболу среди юношей (август), а также </w:t>
      </w:r>
      <w:r w:rsidRPr="00FE579C">
        <w:t>фестиваль ГТО среди всех возрастных категорий</w:t>
      </w:r>
      <w:r>
        <w:t>.</w:t>
      </w:r>
    </w:p>
    <w:sectPr w:rsidR="00525635" w:rsidRPr="00D13337" w:rsidSect="004E23CA">
      <w:pgSz w:w="11906" w:h="16838"/>
      <w:pgMar w:top="1134" w:right="1133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35"/>
    <w:rsid w:val="004E23CA"/>
    <w:rsid w:val="00525635"/>
    <w:rsid w:val="00CD6A12"/>
    <w:rsid w:val="00D13337"/>
    <w:rsid w:val="00D83DC2"/>
    <w:rsid w:val="00D87B84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3EBD"/>
  <w15:docId w15:val="{F75EF6D2-11A3-42F2-BD0C-45B6B407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uiPriority w:val="99"/>
    <w:semiHidden/>
    <w:rsid w:val="0052563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25635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sid w:val="0052563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2024-06-03T06:18:00Z</dcterms:created>
  <dcterms:modified xsi:type="dcterms:W3CDTF">2024-06-03T06:19:00Z</dcterms:modified>
</cp:coreProperties>
</file>