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E1" w:rsidRDefault="00E240E1" w:rsidP="00E240E1">
      <w:pPr>
        <w:pStyle w:val="ConsPlusTitlePage"/>
      </w:pPr>
      <w:r>
        <w:t xml:space="preserve"> </w:t>
      </w:r>
    </w:p>
    <w:p w:rsidR="00E240E1" w:rsidRPr="00E240E1" w:rsidRDefault="00E240E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40E1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E240E1" w:rsidRPr="00E240E1" w:rsidRDefault="00E240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240E1" w:rsidRPr="00E240E1" w:rsidRDefault="00E240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от 2 сентября 2021 г. N 2424-р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1. Утвердить прилагаемый Национальный </w:t>
      </w:r>
      <w:hyperlink w:anchor="P41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("дорожную карту") развития конкуренции в Российской Федерации на 2021 - 2025 годы (далее - Национальный план).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2. Реализация Национального </w:t>
      </w:r>
      <w:hyperlink w:anchor="P41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3. Руководителям федеральных органов исполнительной власти, ответственных за реализацию Национального </w:t>
      </w:r>
      <w:hyperlink w:anchor="P41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E240E1">
        <w:rPr>
          <w:rFonts w:ascii="Times New Roman" w:hAnsi="Times New Roman" w:cs="Times New Roman"/>
          <w:sz w:val="24"/>
          <w:szCs w:val="24"/>
        </w:rPr>
        <w:t>: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обеспечить реализацию Национального </w:t>
      </w:r>
      <w:hyperlink w:anchor="P41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E240E1">
        <w:rPr>
          <w:rFonts w:ascii="Times New Roman" w:hAnsi="Times New Roman" w:cs="Times New Roman"/>
          <w:sz w:val="24"/>
          <w:szCs w:val="24"/>
        </w:rPr>
        <w:t>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1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E240E1">
        <w:rPr>
          <w:rFonts w:ascii="Times New Roman" w:hAnsi="Times New Roman" w:cs="Times New Roman"/>
          <w:sz w:val="24"/>
          <w:szCs w:val="24"/>
        </w:rPr>
        <w:t>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4. ФАС России: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обеспечить мониторинг и контроль реализации Национального </w:t>
      </w:r>
      <w:hyperlink w:anchor="P41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E240E1">
        <w:rPr>
          <w:rFonts w:ascii="Times New Roman" w:hAnsi="Times New Roman" w:cs="Times New Roman"/>
          <w:sz w:val="24"/>
          <w:szCs w:val="24"/>
        </w:rPr>
        <w:t>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1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E240E1">
        <w:rPr>
          <w:rFonts w:ascii="Times New Roman" w:hAnsi="Times New Roman" w:cs="Times New Roman"/>
          <w:sz w:val="24"/>
          <w:szCs w:val="24"/>
        </w:rPr>
        <w:t>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5. Рекомендовать органам государственной власти субъектов Российской Федерации: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1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E240E1">
        <w:rPr>
          <w:rFonts w:ascii="Times New Roman" w:hAnsi="Times New Roman" w:cs="Times New Roman"/>
          <w:sz w:val="24"/>
          <w:szCs w:val="24"/>
        </w:rPr>
        <w:t>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lastRenderedPageBreak/>
        <w:t>в срок до 31 декабря 2025 г.: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6. Рекомендовать органам местного самоуправления: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240E1" w:rsidRPr="00E240E1" w:rsidRDefault="00E240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240E1" w:rsidRPr="00E240E1" w:rsidRDefault="00E240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М.МИШУСТИН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Утвержден</w:t>
      </w:r>
    </w:p>
    <w:p w:rsidR="00E240E1" w:rsidRPr="00E240E1" w:rsidRDefault="00E240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E240E1" w:rsidRPr="00E240E1" w:rsidRDefault="00E240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240E1" w:rsidRPr="00E240E1" w:rsidRDefault="00E240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от 2 сентября 2021 г. N 2424-р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E240E1">
        <w:rPr>
          <w:rFonts w:ascii="Times New Roman" w:hAnsi="Times New Roman" w:cs="Times New Roman"/>
          <w:sz w:val="24"/>
          <w:szCs w:val="24"/>
        </w:rPr>
        <w:t>НАЦИОНАЛЬНЫЙ ПЛАН</w:t>
      </w:r>
    </w:p>
    <w:p w:rsidR="00E240E1" w:rsidRPr="00E240E1" w:rsidRDefault="00E240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("ДОРОЖНАЯ КАРТА") РАЗВИТИЯ КОНКУРЕНЦИИ В РОССИЙСКОЙ</w:t>
      </w:r>
    </w:p>
    <w:p w:rsidR="00E240E1" w:rsidRPr="00E240E1" w:rsidRDefault="00E240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ФЕДЕРАЦИИ НА 2021 - 2025 ГОДЫ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I. Оценка реализации государственной политики</w:t>
      </w:r>
    </w:p>
    <w:p w:rsidR="00E240E1" w:rsidRPr="00E240E1" w:rsidRDefault="00E240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по развитию конкуренции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сохранение населения, здоровье и благополучие людей;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возможности для самореализации и развития талантов;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lastRenderedPageBreak/>
        <w:t>комфортная и безопасная среда для жизни;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достойный, эффективный труд и успешное предпринимательство;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цифровая трансформация.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21 декабря 2017 г. принят </w:t>
      </w:r>
      <w:hyperlink r:id="rId5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6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Национальный план развития конкуренции в Российской Федерации на 2018 - 2020 годы, утвержденный </w:t>
      </w:r>
      <w:hyperlink r:id="rId7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Основные подходы к реализации </w:t>
      </w:r>
      <w:proofErr w:type="spellStart"/>
      <w:r w:rsidRPr="00E240E1">
        <w:rPr>
          <w:rFonts w:ascii="Times New Roman" w:hAnsi="Times New Roman" w:cs="Times New Roman"/>
          <w:sz w:val="24"/>
          <w:szCs w:val="24"/>
        </w:rPr>
        <w:t>проконкурентной</w:t>
      </w:r>
      <w:proofErr w:type="spellEnd"/>
      <w:r w:rsidRPr="00E240E1">
        <w:rPr>
          <w:rFonts w:ascii="Times New Roman" w:hAnsi="Times New Roman" w:cs="Times New Roman"/>
          <w:sz w:val="24"/>
          <w:szCs w:val="24"/>
        </w:rPr>
        <w:t xml:space="preserve"> политики в регионах Российской Федерации закреплены в </w:t>
      </w:r>
      <w:hyperlink r:id="rId8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стандарте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Государственная </w:t>
      </w:r>
      <w:hyperlink r:id="rId9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программа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Программа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12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N 618, </w:t>
      </w:r>
      <w:hyperlink r:id="rId13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принят Федеральный </w:t>
      </w:r>
      <w:hyperlink r:id="rId14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на территории Российской Федерации отменен национальный и внутрисетевой роуминг;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</w:t>
      </w:r>
      <w:r w:rsidRPr="00E240E1">
        <w:rPr>
          <w:rFonts w:ascii="Times New Roman" w:hAnsi="Times New Roman" w:cs="Times New Roman"/>
          <w:sz w:val="24"/>
          <w:szCs w:val="24"/>
        </w:rPr>
        <w:lastRenderedPageBreak/>
        <w:t>на биржевых торгах;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в рамках усиления борьбы с картелями и иными </w:t>
      </w:r>
      <w:proofErr w:type="spellStart"/>
      <w:r w:rsidRPr="00E240E1">
        <w:rPr>
          <w:rFonts w:ascii="Times New Roman" w:hAnsi="Times New Roman" w:cs="Times New Roman"/>
          <w:sz w:val="24"/>
          <w:szCs w:val="24"/>
        </w:rPr>
        <w:t>антиконкурентными</w:t>
      </w:r>
      <w:proofErr w:type="spellEnd"/>
      <w:r w:rsidRPr="00E240E1">
        <w:rPr>
          <w:rFonts w:ascii="Times New Roman" w:hAnsi="Times New Roman" w:cs="Times New Roman"/>
          <w:sz w:val="24"/>
          <w:szCs w:val="24"/>
        </w:rPr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внедрен принцип ценового (тарифного) регулирования, стимулирующий организации к сокращению издержек;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введен метод предельного ценообразования на услуги общедоступной электросвязи и почтовой связи;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Реализация указанных мероприятий способствовала достижению целей и задач, определенных в </w:t>
      </w:r>
      <w:hyperlink r:id="rId15" w:history="1">
        <w:r w:rsidRPr="00E240E1"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</w:hyperlink>
      <w:r w:rsidRPr="00E240E1">
        <w:rPr>
          <w:rFonts w:ascii="Times New Roman" w:hAnsi="Times New Roman" w:cs="Times New Roman"/>
          <w:sz w:val="24"/>
          <w:szCs w:val="24"/>
        </w:rPr>
        <w:t xml:space="preserve"> N 618, в том числе таких как: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Однако не все меры, предусмотренные программами, оказались достаточными для эффективного развития конкуренции.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lastRenderedPageBreak/>
        <w:t xml:space="preserve">Еще одним вызовом как для российской экономики, так и для мировой экономики в целом стало распространение новой </w:t>
      </w:r>
      <w:proofErr w:type="spellStart"/>
      <w:r w:rsidRPr="00E240E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240E1">
        <w:rPr>
          <w:rFonts w:ascii="Times New Roman" w:hAnsi="Times New Roman" w:cs="Times New Roman"/>
          <w:sz w:val="24"/>
          <w:szCs w:val="24"/>
        </w:rPr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Факторами, сдерживающими развитие конкуренции, продолжают оставаться следующие: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высокая доля государственного сектора в экономике;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монополизация рынков и их </w:t>
      </w:r>
      <w:proofErr w:type="spellStart"/>
      <w:r w:rsidRPr="00E240E1">
        <w:rPr>
          <w:rFonts w:ascii="Times New Roman" w:hAnsi="Times New Roman" w:cs="Times New Roman"/>
          <w:sz w:val="24"/>
          <w:szCs w:val="24"/>
        </w:rPr>
        <w:t>олигопольный</w:t>
      </w:r>
      <w:proofErr w:type="spellEnd"/>
      <w:r w:rsidRPr="00E240E1">
        <w:rPr>
          <w:rFonts w:ascii="Times New Roman" w:hAnsi="Times New Roman" w:cs="Times New Roman"/>
          <w:sz w:val="24"/>
          <w:szCs w:val="24"/>
        </w:rPr>
        <w:t xml:space="preserve"> характер;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недостаточная доля малых и средних предприятий в структуре экономики Российской Федерации;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сохраняющиеся ограничения доступа к инфраструктуре.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II. Задачи, ключевые показатели и ожидаемые результаты</w:t>
      </w:r>
    </w:p>
    <w:p w:rsidR="00E240E1" w:rsidRPr="00E240E1" w:rsidRDefault="00E240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развития конкуренции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развитие добросовестной конкуренции на товарных рынках;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снижение барьеров для поставщиков и потребителей товаров, работ и услуг;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0E1">
        <w:rPr>
          <w:rFonts w:ascii="Times New Roman" w:hAnsi="Times New Roman" w:cs="Times New Roman"/>
          <w:sz w:val="24"/>
          <w:szCs w:val="24"/>
        </w:rPr>
        <w:t>дерегулирование</w:t>
      </w:r>
      <w:proofErr w:type="spellEnd"/>
      <w:r w:rsidRPr="00E240E1">
        <w:rPr>
          <w:rFonts w:ascii="Times New Roman" w:hAnsi="Times New Roman" w:cs="Times New Roman"/>
          <w:sz w:val="24"/>
          <w:szCs w:val="24"/>
        </w:rP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lastRenderedPageBreak/>
        <w:t>развитие малого и среднего предпринимательства;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унификация и систематизация государственных и муниципальных преференций хозяйствующим субъектам;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замена мер государственного регулирования экономических отношений на меры экономического стимулирования;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обеспечение недискриминационного доступа к природным ресурсам;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</w:t>
      </w:r>
      <w:proofErr w:type="spellStart"/>
      <w:r w:rsidRPr="00E240E1">
        <w:rPr>
          <w:rFonts w:ascii="Times New Roman" w:hAnsi="Times New Roman" w:cs="Times New Roman"/>
          <w:sz w:val="24"/>
          <w:szCs w:val="24"/>
        </w:rPr>
        <w:t>деривативов</w:t>
      </w:r>
      <w:proofErr w:type="spellEnd"/>
      <w:r w:rsidRPr="00E240E1">
        <w:rPr>
          <w:rFonts w:ascii="Times New Roman" w:hAnsi="Times New Roman" w:cs="Times New Roman"/>
          <w:sz w:val="24"/>
          <w:szCs w:val="24"/>
        </w:rPr>
        <w:t>, создание условий для реализации биржевых товаров на экспорт на российских биржах за рубли;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0E1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E240E1">
        <w:rPr>
          <w:rFonts w:ascii="Times New Roman" w:hAnsi="Times New Roman" w:cs="Times New Roman"/>
          <w:sz w:val="24"/>
          <w:szCs w:val="24"/>
        </w:rPr>
        <w:t xml:space="preserve"> антимонопольного и тарифного регулирования;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7"/>
        <w:gridCol w:w="1276"/>
        <w:gridCol w:w="1417"/>
        <w:gridCol w:w="2356"/>
      </w:tblGrid>
      <w:tr w:rsidR="00E240E1" w:rsidRPr="00E240E1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с государственным и муниципальным участием в отраслях (сферах), указанных в </w:t>
            </w:r>
            <w:hyperlink w:anchor="P142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3 раздела II</w:t>
              </w:r>
            </w:hyperlink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</w:t>
            </w:r>
            <w:hyperlink w:anchor="P140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2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3 раздела II</w:t>
              </w:r>
            </w:hyperlink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2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3 раздела II</w:t>
              </w:r>
            </w:hyperlink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16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91-р</w:t>
              </w:r>
            </w:hyperlink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и от 30 августа 2017 г. </w:t>
            </w:r>
            <w:hyperlink r:id="rId17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1870-р</w:t>
              </w:r>
            </w:hyperlink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2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3 раздела II</w:t>
              </w:r>
            </w:hyperlink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</w:t>
            </w:r>
          </w:p>
        </w:tc>
      </w:tr>
    </w:tbl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0"/>
      <w:bookmarkEnd w:id="2"/>
      <w:r w:rsidRPr="00E240E1">
        <w:rPr>
          <w:rFonts w:ascii="Times New Roman" w:hAnsi="Times New Roman" w:cs="Times New Roman"/>
          <w:sz w:val="24"/>
          <w:szCs w:val="24"/>
        </w:rP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2"/>
      <w:bookmarkEnd w:id="3"/>
      <w:r w:rsidRPr="00E240E1">
        <w:rPr>
          <w:rFonts w:ascii="Times New Roman" w:hAnsi="Times New Roman" w:cs="Times New Roman"/>
          <w:sz w:val="24"/>
          <w:szCs w:val="24"/>
        </w:rPr>
        <w:t>3. Ожидаемые результаты развития конкуренции в отдельных отраслях (сферах) экономики (видах деятельности):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2211"/>
      </w:tblGrid>
      <w:tr w:rsidR="00E240E1" w:rsidRPr="00E240E1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1. Агропромышленный комплекс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Минсельхоз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Минсельхоз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Минсельхоз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2. Информационные технологии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Минобороны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ФСБ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ФСТЭК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3. Сфера обращения твердых коммунальных отходов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Минприроды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4. Сфера финансовых рынков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5. Природные ресурсы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Минвостокразвития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Минприроды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6. Электроэнергетика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составляет не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30 процентов для организаций, осуществляющих деятельность по купле-продаже электроэнергии (</w:t>
            </w: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энергосбытовую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7. Сфера транспорта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Минтранс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8. Сфера образования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1,6 процента на рынках дошкольного образования;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процента на рынках общего образования;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9. Сфера здравоохранения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На рынках лекарственных средств: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 31 декабря 2022 г. - для не менее чем 55 процентов лекарственных препаратов,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 31 декабря 2023 г. - для не менее 60 процентов лекарственных препаратов,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 31 декабря 2024 г. - для не менее 65 процентов лекарственных препаратов,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Система возмещения стоимости лекарственного обеспечения внедрена: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 не менее чем 10 пилотных регионах - к 2023 году,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составляет: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Минздрав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10. Ритуальные услуги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 субъектах Российской Федерации 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 отношении 20 процентов общего количества существующих кладбищ - до 31 декабря 2023 г.;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 отношении 50 процентов общего количества существующих кладбищ - до 31 декабря 2024 г.;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 отношении всех существующих кладбищ - до 31 декабря 2025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Минстрой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 субъектах Российской Федерации до 1 сентября 2023 г.: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созданы и размещены на региональных порталах государственных и муниципальных услуг реестры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хозяйствующих субъектов, имеющих право на оказание услуг по организации похорон;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Минстрой России, </w:t>
            </w: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оказание ритуальных услуг по принципу "одного окна"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Минстрой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11. Энергетика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ФНС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18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Правилами</w:t>
              </w:r>
            </w:hyperlink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Минстрой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ФНС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совместно с заинтересованными федеральными органами исполнительной власти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ФНС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12. Химическая промышленность и нефтегазохимическая промышленность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ортоксилола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ортоксилол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13. Строительство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Минстрой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14. Торговля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15. Лесной комплекс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Минприроды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Минприроды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ФНС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Минприроды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</w:tbl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III. Мероприятия Национального плана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rPr>
          <w:rFonts w:ascii="Times New Roman" w:hAnsi="Times New Roman" w:cs="Times New Roman"/>
          <w:sz w:val="24"/>
          <w:szCs w:val="24"/>
        </w:rPr>
        <w:sectPr w:rsidR="00E240E1" w:rsidRPr="00E240E1" w:rsidSect="009522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06"/>
        <w:gridCol w:w="1701"/>
        <w:gridCol w:w="1984"/>
        <w:gridCol w:w="2324"/>
      </w:tblGrid>
      <w:tr w:rsidR="00E240E1" w:rsidRPr="00E240E1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hyperlink w:anchor="P728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Банк России в части финансовых организаций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2022 г.</w:t>
            </w:r>
          </w:p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31 декабря 2022 г.</w:t>
            </w:r>
          </w:p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31 декабря 2023 г.</w:t>
            </w:r>
          </w:p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2025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 развитию срочного рынка, рынка производных финансовых инструментов;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 привлечению на уровне субъектов Российской Федерации к организованным торгам мелким оптом всех производителей, функционирующих в каждом из субъектов Российской Федерации;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</w:t>
            </w: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нетбэк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ФНС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 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заинтересованных организаций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снижение барьеров для поставщиков финансовых услуг;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потребителя осуществлять свободный информированный выбор, в том числе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смену поставщиков финансовых услуг;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мультисервисных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платформ), в том числе иностранных экосистем;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ответственности органов государственной власти за действия, 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Утверждение по согласованию с Российской академией наук плана мероприятий ("дорожной карты") развития конкуренции в сфере науки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Минюст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Минприроды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Казначейство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Минсельхоз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Минприроды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доступа организациям, обладающим необходимым опытом и финансовыми ресурсами, в состав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закон, постановление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Минвостокразвития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Минприроды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(с обеспечением финансирования за счет средств федерального бюджета) комплекса мероприятий, направленных на формирование информационного пространства в сферах антимонопольного регулирования, государственного регулирования цен (тарифов), контроля экономической концентрации, в сфере осуществления торговой деятельности с определением возможности интеграции с региональными и муниципальными информационными системами, включающего в том числе следующие мероприятия: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взаимодействия органов регулирования с регулируемыми субъектами через единую централизованную информационно-аналитическую систему;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"личных кабинетов" для регулируемых субъектов, обеспечивающих возможность информационного обмена с антимонопольным органом, включая подачу ходатайств и уведомлений о совершении сделок и иных действий, подлежащих государственному контролю за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концентрацией, и получение результатов их рассмотрения 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единой государственной системы учета государственных и муниципальных преференций, предоставляемых в соответствии с Федеральным </w:t>
            </w:r>
            <w:hyperlink r:id="rId19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"О защите конкуренции", обеспечивающей оценку их эффективности, ведение единого реестра государственных и муниципальных преференций, оказываемых хозяйствующим субъектам, в том числе субъектам малого и среднего предпринимательства, с определением возможности интеграции с региональными и муниципальными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развитию сотрудничества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в Правительство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при участии Банка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вопроса о целесообразности инициирования изменений в </w:t>
            </w:r>
            <w:hyperlink r:id="rId20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 N 25</w:t>
              </w:r>
            </w:hyperlink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Минстрой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функционирования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сфере, включая формирование и ведение в данной системе каталога товаров (работ, услуг) для государственных нужд по государственному оборонному заказу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г.,</w:t>
            </w:r>
          </w:p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6 месяцев с момента вступления в силу федерального закона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Минобороны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правового регулирования, предусматривающего унификацию и систематизацию государственных и муниципальных преференций,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путем передачи государственного или муниципального имущества, иных объектов гражданских прав либо путем предоставления имущественных льгот, государственных или муниципальных гарантий, в том числе порядка их предоставления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внесения изменений в </w:t>
            </w:r>
            <w:hyperlink r:id="rId21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судопроизводства Российской Федерации и Арбитражный процессуальный </w:t>
            </w:r>
            <w:hyperlink r:id="rId22" w:history="1">
              <w:r w:rsidRPr="00E24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ограничений на совершение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Установление единых подходов и принципов пропорционального доступа финансовых организаций к получению средств бюджетов различных уровней, а также предоставлению банковских гарантий в зависимости от присвоенного уровня кредитного рейтинга по национальной рейтинговой шкале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Установление исключительно заявительного порядка участия финансовых организаций в программах субсидирования из средств бюджета при соответствии таких организаций общим требованиям к получателям субсидий, закрепленным Правительством Российской Федерации, запрета на адресное (индивидуальное) субсидирование финансовых организаций на конкурентных рынках, а также приоритета выплаты государством субсидий по факту оказания финансовой услуги на льготных условиях либо распределения средств государственной поддержки исходя из установленных Правительством Российской Федерации максимальных квот на одну финансовую организацию - участника программы субсидирования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ограничений на осуществление финансовыми организациями (их группами лиц), активы (суммарные активы финансовых организаций, входящих в одну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 лиц) которых превышают величину, установленную Правительством Российской Федерации по согласованию с Банком России, сделок экономической концентрации в отношении нефинансовых организаций, в том числе путем установления возможности определения Правительством Российской Федерации по согласованию с Банком России допустимого срока владения акциями (долями), активами таких нефинансовых организаций,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Минстрой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 законодательном уровне обязанности по совершению сделок, предусматривающих переход прав владения, пользования, распоряжения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Казначейство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Минстрой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Минздрав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бюджетных учреждений открывать счета в банках в целях размещения средств, поступающих в самостоятельное распоряжение бюджетного учреждения от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квоты в размере 20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для малого бизнеса в конкурсах на установку и размещение рекламных конструкций (наружной рекламы)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Минстрой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ФСБ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ФСТЭК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мероприятий, направленных на принятие Международной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в Правительство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Минфин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при участии Банка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</w:t>
            </w: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Минстрой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E240E1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E240E1" w:rsidRPr="00E240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Минстрой России,</w:t>
            </w:r>
          </w:p>
          <w:p w:rsidR="00E240E1" w:rsidRPr="00E240E1" w:rsidRDefault="00E24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0E1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</w:tbl>
    <w:p w:rsidR="00E240E1" w:rsidRPr="00E240E1" w:rsidRDefault="00E240E1">
      <w:pPr>
        <w:rPr>
          <w:rFonts w:ascii="Times New Roman" w:hAnsi="Times New Roman" w:cs="Times New Roman"/>
          <w:sz w:val="24"/>
          <w:szCs w:val="24"/>
        </w:rPr>
        <w:sectPr w:rsidR="00E240E1" w:rsidRPr="00E240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E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240E1" w:rsidRPr="00E240E1" w:rsidRDefault="00E24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28"/>
      <w:bookmarkEnd w:id="4"/>
      <w:r w:rsidRPr="00E240E1">
        <w:rPr>
          <w:rFonts w:ascii="Times New Roman" w:hAnsi="Times New Roman" w:cs="Times New Roman"/>
          <w:sz w:val="24"/>
          <w:szCs w:val="24"/>
        </w:rP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0E1" w:rsidRPr="00E240E1" w:rsidRDefault="00E240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C6110" w:rsidRPr="00E240E1" w:rsidRDefault="001C6110">
      <w:pPr>
        <w:rPr>
          <w:rFonts w:ascii="Times New Roman" w:hAnsi="Times New Roman" w:cs="Times New Roman"/>
          <w:sz w:val="24"/>
          <w:szCs w:val="24"/>
        </w:rPr>
      </w:pPr>
    </w:p>
    <w:sectPr w:rsidR="001C6110" w:rsidRPr="00E240E1" w:rsidSect="00BE10F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E1"/>
    <w:rsid w:val="001C6110"/>
    <w:rsid w:val="00E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6C45C-9112-48F0-AF48-4A179028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4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4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4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4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4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4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40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48C0FC5EB23FB8AA64BE62CAC114E8283C0E45D72BF3F92E2726D9E5F9FCCD1F9D2E3FDD8676E983E9A4FD991AF2D4E62C08556687EFDEFbCH" TargetMode="External"/><Relationship Id="rId13" Type="http://schemas.openxmlformats.org/officeDocument/2006/relationships/hyperlink" Target="consultantplus://offline/ref=8F048C0FC5EB23FB8AA64BE62CAC114E8287C0ED5477BF3F92E2726D9E5F9FCCD1F9D2E3FDD8676E9B3E9A4FD991AF2D4E62C08556687EFDEFbCH" TargetMode="External"/><Relationship Id="rId18" Type="http://schemas.openxmlformats.org/officeDocument/2006/relationships/hyperlink" Target="consultantplus://offline/ref=8F048C0FC5EB23FB8AA64BE62CAC114E8288C6E35C71BF3F92E2726D9E5F9FCCD1F9D2E3FDD8676E9B3E9A4FD991AF2D4E62C08556687EFDEFb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048C0FC5EB23FB8AA64BE62CAC114E8581C6EC5F79BF3F92E2726D9E5F9FCCC3F98AEFFCDF796F9D2BCC1E9FECb6H" TargetMode="External"/><Relationship Id="rId7" Type="http://schemas.openxmlformats.org/officeDocument/2006/relationships/hyperlink" Target="consultantplus://offline/ref=8F048C0FC5EB23FB8AA64BE62CAC114E8389C6E25476BF3F92E2726D9E5F9FCCC3F98AEFFCDF796F9D2BCC1E9FECb6H" TargetMode="External"/><Relationship Id="rId12" Type="http://schemas.openxmlformats.org/officeDocument/2006/relationships/hyperlink" Target="consultantplus://offline/ref=8F048C0FC5EB23FB8AA64BE62CAC114E8389C6E25476BF3F92E2726D9E5F9FCCC3F98AEFFCDF796F9D2BCC1E9FECb6H" TargetMode="External"/><Relationship Id="rId17" Type="http://schemas.openxmlformats.org/officeDocument/2006/relationships/hyperlink" Target="consultantplus://offline/ref=8F048C0FC5EB23FB8AA64BE62CAC114E8581C0ED5870BF3F92E2726D9E5F9FCCC3F98AEFFCDF796F9D2BCC1E9FECb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048C0FC5EB23FB8AA64BE62CAC114E8581C0ED5979BF3F92E2726D9E5F9FCCC3F98AEFFCDF796F9D2BCC1E9FECb6H" TargetMode="External"/><Relationship Id="rId20" Type="http://schemas.openxmlformats.org/officeDocument/2006/relationships/hyperlink" Target="consultantplus://offline/ref=8F048C0FC5EB23FB8AA64BE62CAC114E8288CAE05479BF3F92E2726D9E5F9FCCD1F9D2E3FDDD6268963E9A4FD991AF2D4E62C08556687EFDEFb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048C0FC5EB23FB8AA64BE62CAC114E8389C6E25476BF3F92E2726D9E5F9FCCC3F98AEFFCDF796F9D2BCC1E9FECb6H" TargetMode="External"/><Relationship Id="rId11" Type="http://schemas.openxmlformats.org/officeDocument/2006/relationships/hyperlink" Target="consultantplus://offline/ref=8F048C0FC5EB23FB8AA64BE62CAC114E8089CBE15873BF3F92E2726D9E5F9FCCD1F9D2E3FDD866669E3E9A4FD991AF2D4E62C08556687EFDEFbC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F048C0FC5EB23FB8AA64BE62CAC114E8389C6E25476BF3F92E2726D9E5F9FCCC3F98AEFFCDF796F9D2BCC1E9FECb6H" TargetMode="External"/><Relationship Id="rId15" Type="http://schemas.openxmlformats.org/officeDocument/2006/relationships/hyperlink" Target="consultantplus://offline/ref=8F048C0FC5EB23FB8AA64BE62CAC114E8389C6E25476BF3F92E2726D9E5F9FCCC3F98AEFFCDF796F9D2BCC1E9FECb6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F048C0FC5EB23FB8AA64BE62CAC114E8081CBE65B72BF3F92E2726D9E5F9FCCD1F9D2E3FDD8676E973E9A4FD991AF2D4E62C08556687EFDEFbCH" TargetMode="External"/><Relationship Id="rId19" Type="http://schemas.openxmlformats.org/officeDocument/2006/relationships/hyperlink" Target="consultantplus://offline/ref=8F048C0FC5EB23FB8AA64BE62CAC114E8289CAEC5A71BF3F92E2726D9E5F9FCCC3F98AEFFCDF796F9D2BCC1E9FECb6H" TargetMode="External"/><Relationship Id="rId4" Type="http://schemas.openxmlformats.org/officeDocument/2006/relationships/hyperlink" Target="consultantplus://offline/ref=8F048C0FC5EB23FB8AA64BE62CAC114E8284C4EC5F77BF3F92E2726D9E5F9FCCD1F9D2E3FDD8676F983E9A4FD991AF2D4E62C08556687EFDEFbCH" TargetMode="External"/><Relationship Id="rId9" Type="http://schemas.openxmlformats.org/officeDocument/2006/relationships/hyperlink" Target="consultantplus://offline/ref=8F048C0FC5EB23FB8AA64BE62CAC114E8087C7E35C7BE2359ABB7E6F9950C0DBD6B0DEE2FDD8656F94619F5AC8C9A32B577CC2994A6A7CEFbDH" TargetMode="External"/><Relationship Id="rId14" Type="http://schemas.openxmlformats.org/officeDocument/2006/relationships/hyperlink" Target="consultantplus://offline/ref=8F048C0FC5EB23FB8AA64BE62CAC114E8285C2E25A77BF3F92E2726D9E5F9FCCC3F98AEFFCDF796F9D2BCC1E9FECb6H" TargetMode="External"/><Relationship Id="rId22" Type="http://schemas.openxmlformats.org/officeDocument/2006/relationships/hyperlink" Target="consultantplus://offline/ref=8F048C0FC5EB23FB8AA64BE62CAC114E8581C6EC5F74BF3F92E2726D9E5F9FCCC3F98AEFFCDF796F9D2BCC1E9FECb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8996</Words>
  <Characters>51281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2022-02-17T07:27:00Z</dcterms:created>
  <dcterms:modified xsi:type="dcterms:W3CDTF">2022-02-17T07:28:00Z</dcterms:modified>
</cp:coreProperties>
</file>